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A9ECB" w14:textId="77777777" w:rsidR="002D514D" w:rsidRDefault="008422B1">
      <w:pPr>
        <w:jc w:val="center"/>
        <w:rPr>
          <w:b/>
          <w:sz w:val="24"/>
          <w:szCs w:val="24"/>
        </w:rPr>
      </w:pPr>
      <w:r>
        <w:rPr>
          <w:b/>
          <w:sz w:val="24"/>
          <w:szCs w:val="24"/>
        </w:rPr>
        <w:t>2021 #MMIWGActionNow Twitter Chat</w:t>
      </w:r>
    </w:p>
    <w:p w14:paraId="1CFABE52" w14:textId="77777777" w:rsidR="002D514D" w:rsidRDefault="008422B1">
      <w:pPr>
        <w:jc w:val="center"/>
        <w:rPr>
          <w:b/>
          <w:sz w:val="24"/>
          <w:szCs w:val="24"/>
        </w:rPr>
      </w:pPr>
      <w:r>
        <w:rPr>
          <w:b/>
          <w:sz w:val="24"/>
          <w:szCs w:val="24"/>
        </w:rPr>
        <w:t>Wednesday, May 5, 2021 | 12-1 p.m. MT</w:t>
      </w:r>
    </w:p>
    <w:p w14:paraId="5A640AE8" w14:textId="77777777" w:rsidR="002D514D" w:rsidRDefault="002D514D"/>
    <w:p w14:paraId="4B034C2F" w14:textId="77777777" w:rsidR="002D514D" w:rsidRDefault="008422B1">
      <w:pPr>
        <w:rPr>
          <w:b/>
        </w:rPr>
      </w:pPr>
      <w:r>
        <w:rPr>
          <w:b/>
        </w:rPr>
        <w:t>Twitter Chat Flow and Questions (Mountain Time):</w:t>
      </w:r>
    </w:p>
    <w:p w14:paraId="588E821C" w14:textId="77777777" w:rsidR="002D514D" w:rsidRDefault="002D514D">
      <w:pPr>
        <w:rPr>
          <w:color w:val="1D2129"/>
          <w:highlight w:val="white"/>
        </w:rPr>
      </w:pPr>
    </w:p>
    <w:p w14:paraId="6E22609C" w14:textId="77777777" w:rsidR="002D514D" w:rsidRDefault="008422B1">
      <w:pPr>
        <w:rPr>
          <w:b/>
          <w:color w:val="1D2129"/>
          <w:highlight w:val="white"/>
        </w:rPr>
      </w:pPr>
      <w:r>
        <w:rPr>
          <w:b/>
          <w:color w:val="1D2129"/>
          <w:highlight w:val="white"/>
        </w:rPr>
        <w:t xml:space="preserve">Post 1 – </w:t>
      </w:r>
      <w:r>
        <w:rPr>
          <w:i/>
        </w:rPr>
        <w:t>by @niwrc | 12:00 p.m.</w:t>
      </w:r>
    </w:p>
    <w:p w14:paraId="37E124DA" w14:textId="77777777" w:rsidR="002D514D" w:rsidRDefault="008422B1">
      <w:r>
        <w:t xml:space="preserve">Welcome to the </w:t>
      </w:r>
      <w:r>
        <w:rPr>
          <w:color w:val="C00000"/>
        </w:rPr>
        <w:t>#MMIWGActionNow</w:t>
      </w:r>
      <w:r>
        <w:t xml:space="preserve"> Twitter Chat, hosted by NIWRC &amp; @_IllumiNatives. Thanks for speaking truth to missing &amp; murdered Indigenous women, girls &amp; 2S relatives—their lives matter. This is a national crisis that needs awareness and deserves action. </w:t>
      </w:r>
    </w:p>
    <w:p w14:paraId="534F937D" w14:textId="77777777" w:rsidR="002D514D" w:rsidRDefault="002D514D"/>
    <w:p w14:paraId="2EDA0983" w14:textId="77777777" w:rsidR="002D514D" w:rsidRDefault="008422B1">
      <w:r>
        <w:t>@niwrc will tweet using Q1, e</w:t>
      </w:r>
      <w:r>
        <w:t>tc. Pls respond with your answers using A1, etc.</w:t>
      </w:r>
    </w:p>
    <w:p w14:paraId="7DABBE07" w14:textId="77777777" w:rsidR="002D514D" w:rsidRDefault="002D514D">
      <w:pPr>
        <w:rPr>
          <w:color w:val="0000FF"/>
          <w:highlight w:val="white"/>
        </w:rPr>
      </w:pPr>
    </w:p>
    <w:p w14:paraId="40A611C6" w14:textId="77777777" w:rsidR="002D514D" w:rsidRDefault="008422B1">
      <w:pPr>
        <w:rPr>
          <w:b/>
          <w:color w:val="000000"/>
          <w:highlight w:val="white"/>
        </w:rPr>
      </w:pPr>
      <w:r>
        <w:rPr>
          <w:b/>
          <w:color w:val="000000"/>
          <w:highlight w:val="white"/>
        </w:rPr>
        <w:t xml:space="preserve">Post 2 - </w:t>
      </w:r>
      <w:r>
        <w:rPr>
          <w:i/>
        </w:rPr>
        <w:t>by @niwrc | 12:02 p.m.</w:t>
      </w:r>
    </w:p>
    <w:p w14:paraId="3E049CE4" w14:textId="77777777" w:rsidR="002D514D" w:rsidRDefault="008422B1">
      <w:pPr>
        <w:rPr>
          <w:color w:val="14171A"/>
        </w:rPr>
      </w:pPr>
      <w:r>
        <w:rPr>
          <w:color w:val="C00000"/>
        </w:rPr>
        <w:t xml:space="preserve">#MMIWGActionNow </w:t>
      </w:r>
      <w:r>
        <w:rPr>
          <w:color w:val="14171A"/>
        </w:rPr>
        <w:t xml:space="preserve">Let’s first acknowledge the original homelands where we stand. NIWRC resides on the ancestral lands of the </w:t>
      </w:r>
      <w:proofErr w:type="spellStart"/>
      <w:r>
        <w:rPr>
          <w:color w:val="14171A"/>
        </w:rPr>
        <w:t>Tsétsêhéstâhese</w:t>
      </w:r>
      <w:proofErr w:type="spellEnd"/>
      <w:r>
        <w:rPr>
          <w:color w:val="14171A"/>
        </w:rPr>
        <w:t xml:space="preserve"> and </w:t>
      </w:r>
      <w:proofErr w:type="spellStart"/>
      <w:r>
        <w:rPr>
          <w:color w:val="14171A"/>
        </w:rPr>
        <w:t>So'taeo'o</w:t>
      </w:r>
      <w:proofErr w:type="spellEnd"/>
      <w:r>
        <w:rPr>
          <w:color w:val="14171A"/>
        </w:rPr>
        <w:t xml:space="preserve"> (Cheyenne) People. Th</w:t>
      </w:r>
      <w:r>
        <w:rPr>
          <w:color w:val="14171A"/>
        </w:rPr>
        <w:t>e Cheyenne people &amp; cultural lifeways are beautiful &amp; thriving here. Pls share where you're tweeting from!</w:t>
      </w:r>
    </w:p>
    <w:p w14:paraId="5203A700" w14:textId="77777777" w:rsidR="002D514D" w:rsidRDefault="002D514D"/>
    <w:p w14:paraId="712A9279" w14:textId="77777777" w:rsidR="002D514D" w:rsidRDefault="008422B1">
      <w:pPr>
        <w:rPr>
          <w:i/>
        </w:rPr>
      </w:pPr>
      <w:r>
        <w:rPr>
          <w:b/>
          <w:color w:val="000000"/>
        </w:rPr>
        <w:t>Q1</w:t>
      </w:r>
      <w:r>
        <w:rPr>
          <w:b/>
          <w:color w:val="7030A0"/>
        </w:rPr>
        <w:t xml:space="preserve"> </w:t>
      </w:r>
      <w:r>
        <w:rPr>
          <w:i/>
        </w:rPr>
        <w:t>12:06 PM – Q1 asked by @niwrc</w:t>
      </w:r>
    </w:p>
    <w:p w14:paraId="0942263E" w14:textId="77777777" w:rsidR="002D514D" w:rsidRDefault="008422B1">
      <w:r>
        <w:t xml:space="preserve"> </w:t>
      </w:r>
    </w:p>
    <w:tbl>
      <w:tblPr>
        <w:tblStyle w:val="af3"/>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2D514D" w14:paraId="2D3FD0B4" w14:textId="77777777">
        <w:trPr>
          <w:trHeight w:val="515"/>
        </w:trPr>
        <w:tc>
          <w:tcPr>
            <w:tcW w:w="912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49C1DCC8" w14:textId="77777777" w:rsidR="002D514D" w:rsidRDefault="008422B1">
            <w:pPr>
              <w:widowControl w:val="0"/>
              <w:pBdr>
                <w:top w:val="nil"/>
                <w:left w:val="nil"/>
                <w:bottom w:val="nil"/>
                <w:right w:val="nil"/>
                <w:between w:val="nil"/>
              </w:pBdr>
            </w:pPr>
            <w:r>
              <w:t>@niwrc will post</w:t>
            </w:r>
          </w:p>
        </w:tc>
      </w:tr>
      <w:tr w:rsidR="002D514D" w14:paraId="351C6505" w14:textId="77777777">
        <w:trPr>
          <w:trHeight w:val="480"/>
        </w:trPr>
        <w:tc>
          <w:tcPr>
            <w:tcW w:w="9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366063" w14:textId="77777777" w:rsidR="002D514D" w:rsidRDefault="008422B1">
            <w:pPr>
              <w:widowControl w:val="0"/>
              <w:pBdr>
                <w:top w:val="nil"/>
                <w:left w:val="nil"/>
                <w:bottom w:val="nil"/>
                <w:right w:val="nil"/>
                <w:between w:val="nil"/>
              </w:pBdr>
              <w:rPr>
                <w:color w:val="CC0000"/>
              </w:rPr>
            </w:pPr>
            <w:r>
              <w:t xml:space="preserve">Q1: Let’s begin the conversation at the heart of this issue: what are the root causes of violence against Native women, girls and Two-spirit people (incl. domestic violence, sexual assault, trafficking, murder, and other crimes)? How did we get here? </w:t>
            </w:r>
            <w:r>
              <w:rPr>
                <w:color w:val="CC0000"/>
                <w:highlight w:val="white"/>
              </w:rPr>
              <w:t>#</w:t>
            </w:r>
            <w:r>
              <w:rPr>
                <w:color w:val="CC0000"/>
              </w:rPr>
              <w:t>MMIW</w:t>
            </w:r>
            <w:r>
              <w:rPr>
                <w:color w:val="CC0000"/>
              </w:rPr>
              <w:t>GActionNow</w:t>
            </w:r>
          </w:p>
        </w:tc>
      </w:tr>
    </w:tbl>
    <w:p w14:paraId="1D5C4D5B" w14:textId="77777777" w:rsidR="002D514D" w:rsidRDefault="008422B1">
      <w:r>
        <w:t xml:space="preserve">  </w:t>
      </w:r>
    </w:p>
    <w:p w14:paraId="79105C0B" w14:textId="77777777" w:rsidR="002D514D" w:rsidRDefault="008422B1">
      <w:r>
        <w:rPr>
          <w:b/>
          <w:color w:val="000000"/>
        </w:rPr>
        <w:t>Q2</w:t>
      </w:r>
      <w:r>
        <w:rPr>
          <w:b/>
          <w:color w:val="7030A0"/>
        </w:rPr>
        <w:t xml:space="preserve"> - </w:t>
      </w:r>
      <w:r>
        <w:rPr>
          <w:i/>
        </w:rPr>
        <w:t>12:12 PM – Q2 asked by @niwrc</w:t>
      </w:r>
    </w:p>
    <w:p w14:paraId="03A816D9" w14:textId="77777777" w:rsidR="002D514D" w:rsidRDefault="008422B1">
      <w:r>
        <w:t xml:space="preserve">  </w:t>
      </w:r>
    </w:p>
    <w:tbl>
      <w:tblPr>
        <w:tblStyle w:val="af4"/>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2D514D" w14:paraId="12580303" w14:textId="77777777">
        <w:trPr>
          <w:trHeight w:val="480"/>
        </w:trPr>
        <w:tc>
          <w:tcPr>
            <w:tcW w:w="912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62813841" w14:textId="77777777" w:rsidR="002D514D" w:rsidRDefault="008422B1">
            <w:pPr>
              <w:widowControl w:val="0"/>
              <w:pBdr>
                <w:top w:val="nil"/>
                <w:left w:val="nil"/>
                <w:bottom w:val="nil"/>
                <w:right w:val="nil"/>
                <w:between w:val="nil"/>
              </w:pBdr>
            </w:pPr>
            <w:r>
              <w:t>@niwrc will post</w:t>
            </w:r>
          </w:p>
        </w:tc>
      </w:tr>
      <w:tr w:rsidR="002D514D" w14:paraId="01FE286B" w14:textId="77777777">
        <w:trPr>
          <w:trHeight w:val="480"/>
        </w:trPr>
        <w:tc>
          <w:tcPr>
            <w:tcW w:w="9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78450F" w14:textId="77777777" w:rsidR="002D514D" w:rsidRDefault="008422B1">
            <w:pPr>
              <w:rPr>
                <w:color w:val="CC0000"/>
              </w:rPr>
            </w:pPr>
            <w:r>
              <w:t>Q2:</w:t>
            </w:r>
            <w:r>
              <w:rPr>
                <w:color w:val="14171A"/>
                <w:highlight w:val="white"/>
              </w:rPr>
              <w:t xml:space="preserve"> </w:t>
            </w:r>
            <w:r>
              <w:t xml:space="preserve">Colonialism is a big piece of the puzzle, and another key issue is visibility. </w:t>
            </w:r>
            <w:r>
              <w:t>According to the Reclaiming Native Truth study, over 40% of Americans think Native people no longer exist. In what ways does this contribute to the MMIW crisis?</w:t>
            </w:r>
            <w:r>
              <w:rPr>
                <w:color w:val="222222"/>
                <w:highlight w:val="white"/>
              </w:rPr>
              <w:t xml:space="preserve"> </w:t>
            </w:r>
            <w:r>
              <w:rPr>
                <w:color w:val="CC0000"/>
                <w:highlight w:val="white"/>
              </w:rPr>
              <w:t>#</w:t>
            </w:r>
            <w:r>
              <w:rPr>
                <w:color w:val="CC0000"/>
              </w:rPr>
              <w:t>MMIWGActionNow</w:t>
            </w:r>
          </w:p>
        </w:tc>
      </w:tr>
    </w:tbl>
    <w:p w14:paraId="0E614DCB" w14:textId="77777777" w:rsidR="002D514D" w:rsidRDefault="008422B1">
      <w:r>
        <w:t xml:space="preserve"> </w:t>
      </w:r>
    </w:p>
    <w:p w14:paraId="45F20BB6" w14:textId="77777777" w:rsidR="002D514D" w:rsidRDefault="002D514D">
      <w:pPr>
        <w:rPr>
          <w:b/>
        </w:rPr>
      </w:pPr>
    </w:p>
    <w:p w14:paraId="71B820FA" w14:textId="77777777" w:rsidR="002D514D" w:rsidRDefault="002D514D">
      <w:pPr>
        <w:rPr>
          <w:b/>
        </w:rPr>
      </w:pPr>
    </w:p>
    <w:p w14:paraId="3FD60B2F" w14:textId="77777777" w:rsidR="002D514D" w:rsidRDefault="002D514D">
      <w:pPr>
        <w:rPr>
          <w:b/>
        </w:rPr>
      </w:pPr>
    </w:p>
    <w:p w14:paraId="1177E75D" w14:textId="77777777" w:rsidR="002D514D" w:rsidRDefault="002D514D">
      <w:pPr>
        <w:rPr>
          <w:b/>
        </w:rPr>
      </w:pPr>
    </w:p>
    <w:p w14:paraId="3FF393BB" w14:textId="77777777" w:rsidR="002D514D" w:rsidRDefault="002D514D">
      <w:pPr>
        <w:rPr>
          <w:b/>
        </w:rPr>
      </w:pPr>
    </w:p>
    <w:p w14:paraId="7E774891" w14:textId="77777777" w:rsidR="002D514D" w:rsidRDefault="002D514D">
      <w:pPr>
        <w:rPr>
          <w:b/>
        </w:rPr>
      </w:pPr>
    </w:p>
    <w:p w14:paraId="4127E87F" w14:textId="77777777" w:rsidR="002D514D" w:rsidRDefault="008422B1">
      <w:pPr>
        <w:rPr>
          <w:i/>
        </w:rPr>
      </w:pPr>
      <w:r>
        <w:rPr>
          <w:b/>
        </w:rPr>
        <w:t xml:space="preserve">Q3 - </w:t>
      </w:r>
      <w:r>
        <w:rPr>
          <w:i/>
        </w:rPr>
        <w:t>12:18 PM – Q3 asked by @niwrc</w:t>
      </w:r>
    </w:p>
    <w:p w14:paraId="330F39DD" w14:textId="77777777" w:rsidR="002D514D" w:rsidRDefault="002D514D">
      <w:pPr>
        <w:rPr>
          <w:i/>
        </w:rPr>
      </w:pPr>
    </w:p>
    <w:tbl>
      <w:tblPr>
        <w:tblStyle w:val="af5"/>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2D514D" w14:paraId="248FC4FC" w14:textId="77777777">
        <w:trPr>
          <w:trHeight w:val="480"/>
        </w:trPr>
        <w:tc>
          <w:tcPr>
            <w:tcW w:w="912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6A2B9213" w14:textId="77777777" w:rsidR="002D514D" w:rsidRDefault="008422B1">
            <w:pPr>
              <w:widowControl w:val="0"/>
            </w:pPr>
            <w:r>
              <w:t>@niwrc will post</w:t>
            </w:r>
          </w:p>
        </w:tc>
      </w:tr>
      <w:tr w:rsidR="002D514D" w14:paraId="130B8408" w14:textId="77777777">
        <w:trPr>
          <w:trHeight w:val="480"/>
        </w:trPr>
        <w:tc>
          <w:tcPr>
            <w:tcW w:w="9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84C878" w14:textId="77777777" w:rsidR="002D514D" w:rsidRDefault="008422B1">
            <w:pPr>
              <w:spacing w:line="240" w:lineRule="auto"/>
              <w:rPr>
                <w:color w:val="CC0000"/>
              </w:rPr>
            </w:pPr>
            <w:r>
              <w:t xml:space="preserve">Q3: There are so many factors contributing to the #MMIWG2S crisis. What are the top challenges related to addressing it, and how can we overcome these challenges to save Indigenous lives? </w:t>
            </w:r>
            <w:r>
              <w:rPr>
                <w:color w:val="CC0000"/>
              </w:rPr>
              <w:t>#MMIWGActionNow</w:t>
            </w:r>
          </w:p>
        </w:tc>
      </w:tr>
    </w:tbl>
    <w:p w14:paraId="3BD4D19E" w14:textId="77777777" w:rsidR="002D514D" w:rsidRDefault="002D514D">
      <w:pPr>
        <w:rPr>
          <w:b/>
        </w:rPr>
      </w:pPr>
    </w:p>
    <w:p w14:paraId="6E7A6267" w14:textId="77777777" w:rsidR="002D514D" w:rsidRDefault="008422B1">
      <w:r>
        <w:rPr>
          <w:b/>
          <w:color w:val="000000"/>
        </w:rPr>
        <w:t xml:space="preserve">Q4 </w:t>
      </w:r>
      <w:r>
        <w:rPr>
          <w:i/>
          <w:color w:val="000000"/>
        </w:rPr>
        <w:t>12:</w:t>
      </w:r>
      <w:r>
        <w:rPr>
          <w:i/>
        </w:rPr>
        <w:t>24</w:t>
      </w:r>
      <w:r>
        <w:rPr>
          <w:i/>
          <w:color w:val="000000"/>
        </w:rPr>
        <w:t xml:space="preserve"> PM </w:t>
      </w:r>
      <w:r>
        <w:rPr>
          <w:i/>
        </w:rPr>
        <w:t>– Q4 asked by @niwrc</w:t>
      </w:r>
    </w:p>
    <w:p w14:paraId="681DF89C" w14:textId="77777777" w:rsidR="002D514D" w:rsidRDefault="002D514D"/>
    <w:tbl>
      <w:tblPr>
        <w:tblStyle w:val="af6"/>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2D514D" w14:paraId="42B59889" w14:textId="77777777">
        <w:trPr>
          <w:trHeight w:val="480"/>
        </w:trPr>
        <w:tc>
          <w:tcPr>
            <w:tcW w:w="912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60D767CA" w14:textId="77777777" w:rsidR="002D514D" w:rsidRDefault="008422B1">
            <w:pPr>
              <w:widowControl w:val="0"/>
              <w:pBdr>
                <w:top w:val="nil"/>
                <w:left w:val="nil"/>
                <w:bottom w:val="nil"/>
                <w:right w:val="nil"/>
                <w:between w:val="nil"/>
              </w:pBdr>
            </w:pPr>
            <w:r>
              <w:t>@niwrc will post</w:t>
            </w:r>
          </w:p>
        </w:tc>
      </w:tr>
      <w:tr w:rsidR="002D514D" w14:paraId="417A29BF" w14:textId="77777777">
        <w:trPr>
          <w:trHeight w:val="480"/>
        </w:trPr>
        <w:tc>
          <w:tcPr>
            <w:tcW w:w="9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A985AD" w14:textId="77777777" w:rsidR="002D514D" w:rsidRDefault="008422B1">
            <w:pPr>
              <w:spacing w:line="240" w:lineRule="auto"/>
              <w:rPr>
                <w:color w:val="CC0000"/>
              </w:rPr>
            </w:pPr>
            <w:r>
              <w:t>Q4: Due to lack of data, there is a misconception that violence against Indigenous women and girls ONLY occurs on tribal lands. How do we disrupt those misconceptions about who the violent perpetrators are and advocate for urban Native li</w:t>
            </w:r>
            <w:r>
              <w:t xml:space="preserve">ves? </w:t>
            </w:r>
            <w:r>
              <w:rPr>
                <w:color w:val="CC0000"/>
              </w:rPr>
              <w:t>#MMIWGActionNow</w:t>
            </w:r>
          </w:p>
        </w:tc>
      </w:tr>
    </w:tbl>
    <w:p w14:paraId="06A04D72" w14:textId="77777777" w:rsidR="002D514D" w:rsidRDefault="008422B1">
      <w:r>
        <w:t xml:space="preserve">  </w:t>
      </w:r>
    </w:p>
    <w:p w14:paraId="4EC7C5B6" w14:textId="77777777" w:rsidR="002D514D" w:rsidRDefault="008422B1">
      <w:r>
        <w:rPr>
          <w:b/>
          <w:color w:val="000000"/>
        </w:rPr>
        <w:t xml:space="preserve">Q5 </w:t>
      </w:r>
      <w:r>
        <w:rPr>
          <w:i/>
        </w:rPr>
        <w:t>12:30 PM – Q5 asked by @niwrc</w:t>
      </w:r>
    </w:p>
    <w:p w14:paraId="60F8B2E7" w14:textId="77777777" w:rsidR="002D514D" w:rsidRDefault="002D514D"/>
    <w:tbl>
      <w:tblPr>
        <w:tblStyle w:val="af7"/>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2D514D" w14:paraId="16AE1F66" w14:textId="77777777">
        <w:trPr>
          <w:trHeight w:val="480"/>
        </w:trPr>
        <w:tc>
          <w:tcPr>
            <w:tcW w:w="912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3FF43550" w14:textId="77777777" w:rsidR="002D514D" w:rsidRDefault="008422B1">
            <w:pPr>
              <w:widowControl w:val="0"/>
            </w:pPr>
            <w:r>
              <w:t>@niwrc will post</w:t>
            </w:r>
          </w:p>
        </w:tc>
      </w:tr>
      <w:tr w:rsidR="002D514D" w14:paraId="18053950" w14:textId="77777777">
        <w:trPr>
          <w:trHeight w:val="480"/>
        </w:trPr>
        <w:tc>
          <w:tcPr>
            <w:tcW w:w="9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F73DA9" w14:textId="77777777" w:rsidR="002D514D" w:rsidRDefault="008422B1">
            <w:pPr>
              <w:spacing w:line="240" w:lineRule="auto"/>
              <w:rPr>
                <w:color w:val="CC0000"/>
                <w:highlight w:val="white"/>
              </w:rPr>
            </w:pPr>
            <w:r>
              <w:t xml:space="preserve">Q5: There is also a problem of violent misogyny in America. What are some examples of sexualized stereotypes of Native women and how does this contribute to the violence against Indigenous people? </w:t>
            </w:r>
            <w:r>
              <w:rPr>
                <w:color w:val="CC0000"/>
              </w:rPr>
              <w:t>#MMIWGActionNow</w:t>
            </w:r>
          </w:p>
        </w:tc>
      </w:tr>
    </w:tbl>
    <w:p w14:paraId="1B747F64" w14:textId="77777777" w:rsidR="002D514D" w:rsidRDefault="002D514D"/>
    <w:p w14:paraId="5F47E430" w14:textId="77777777" w:rsidR="002D514D" w:rsidRDefault="008422B1">
      <w:r>
        <w:rPr>
          <w:b/>
        </w:rPr>
        <w:t xml:space="preserve">Q6 </w:t>
      </w:r>
      <w:r>
        <w:rPr>
          <w:i/>
        </w:rPr>
        <w:t>12:36 PM – Q6 asked by @niwrc</w:t>
      </w:r>
    </w:p>
    <w:p w14:paraId="6409DC81" w14:textId="77777777" w:rsidR="002D514D" w:rsidRDefault="002D514D">
      <w:pPr>
        <w:rPr>
          <w:i/>
        </w:rPr>
      </w:pPr>
    </w:p>
    <w:tbl>
      <w:tblPr>
        <w:tblStyle w:val="af8"/>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2D514D" w14:paraId="3437F8AB" w14:textId="77777777">
        <w:trPr>
          <w:trHeight w:val="480"/>
        </w:trPr>
        <w:tc>
          <w:tcPr>
            <w:tcW w:w="912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695D1D3F" w14:textId="77777777" w:rsidR="002D514D" w:rsidRDefault="008422B1">
            <w:pPr>
              <w:widowControl w:val="0"/>
            </w:pPr>
            <w:r>
              <w:t>@niwrc will post</w:t>
            </w:r>
          </w:p>
        </w:tc>
      </w:tr>
      <w:tr w:rsidR="002D514D" w14:paraId="045A0804" w14:textId="77777777">
        <w:trPr>
          <w:trHeight w:val="480"/>
        </w:trPr>
        <w:tc>
          <w:tcPr>
            <w:tcW w:w="9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4B787C" w14:textId="77777777" w:rsidR="002D514D" w:rsidRDefault="008422B1">
            <w:pPr>
              <w:spacing w:line="240" w:lineRule="auto"/>
              <w:rPr>
                <w:color w:val="CC0000"/>
              </w:rPr>
            </w:pPr>
            <w:r>
              <w:t>Q6: The impact of extractive industries has affected Indigenous communities in more ways than one. How is fossil fuel production linked to the crisis of missing and murdered Indigenous women?</w:t>
            </w:r>
            <w:r>
              <w:rPr>
                <w:color w:val="CC0000"/>
              </w:rPr>
              <w:t xml:space="preserve"> #MMIWGActionNow</w:t>
            </w:r>
          </w:p>
        </w:tc>
      </w:tr>
    </w:tbl>
    <w:p w14:paraId="0CF22233" w14:textId="77777777" w:rsidR="002D514D" w:rsidRDefault="002D514D">
      <w:pPr>
        <w:rPr>
          <w:b/>
        </w:rPr>
      </w:pPr>
    </w:p>
    <w:p w14:paraId="4016C077" w14:textId="77777777" w:rsidR="002D514D" w:rsidRDefault="008422B1">
      <w:pPr>
        <w:rPr>
          <w:i/>
        </w:rPr>
      </w:pPr>
      <w:r>
        <w:rPr>
          <w:b/>
        </w:rPr>
        <w:t xml:space="preserve">Q7 </w:t>
      </w:r>
      <w:r>
        <w:rPr>
          <w:i/>
        </w:rPr>
        <w:t>12:42 PM – Q7 asked by @niwrc</w:t>
      </w:r>
      <w:r>
        <w:t xml:space="preserve"> </w:t>
      </w:r>
    </w:p>
    <w:p w14:paraId="43E26913" w14:textId="77777777" w:rsidR="002D514D" w:rsidRDefault="002D514D">
      <w:pPr>
        <w:rPr>
          <w:i/>
        </w:rPr>
      </w:pPr>
    </w:p>
    <w:tbl>
      <w:tblPr>
        <w:tblStyle w:val="af9"/>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2D514D" w14:paraId="110AF4C2" w14:textId="77777777">
        <w:trPr>
          <w:trHeight w:val="480"/>
        </w:trPr>
        <w:tc>
          <w:tcPr>
            <w:tcW w:w="912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5FE5E18E" w14:textId="77777777" w:rsidR="002D514D" w:rsidRDefault="008422B1">
            <w:pPr>
              <w:widowControl w:val="0"/>
            </w:pPr>
            <w:r>
              <w:t>@niwrc will post</w:t>
            </w:r>
          </w:p>
        </w:tc>
      </w:tr>
      <w:tr w:rsidR="002D514D" w14:paraId="2FDDECE0" w14:textId="77777777">
        <w:trPr>
          <w:trHeight w:val="480"/>
        </w:trPr>
        <w:tc>
          <w:tcPr>
            <w:tcW w:w="9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5C66BA" w14:textId="77777777" w:rsidR="002D514D" w:rsidRDefault="008422B1">
            <w:pPr>
              <w:spacing w:line="240" w:lineRule="auto"/>
              <w:rPr>
                <w:color w:val="CC0000"/>
              </w:rPr>
            </w:pPr>
            <w:r>
              <w:lastRenderedPageBreak/>
              <w:t xml:space="preserve">Q7: We believe the solutions to the #MMIWG crisis reside within our communities. Why is tribal sovereignty so important when talking about ending this crisis? What community-based solutions are taking MMIW </w:t>
            </w:r>
            <w:r>
              <w:t xml:space="preserve">head-on? </w:t>
            </w:r>
            <w:r>
              <w:rPr>
                <w:color w:val="CC0000"/>
              </w:rPr>
              <w:t>#MMIWGActionNow</w:t>
            </w:r>
          </w:p>
        </w:tc>
      </w:tr>
    </w:tbl>
    <w:p w14:paraId="6FD5183A" w14:textId="77777777" w:rsidR="002D514D" w:rsidRDefault="002D514D"/>
    <w:p w14:paraId="5D0F5484" w14:textId="77777777" w:rsidR="002D514D" w:rsidRDefault="008422B1">
      <w:pPr>
        <w:rPr>
          <w:i/>
        </w:rPr>
      </w:pPr>
      <w:r>
        <w:rPr>
          <w:b/>
        </w:rPr>
        <w:t xml:space="preserve">Q8 </w:t>
      </w:r>
      <w:r>
        <w:rPr>
          <w:i/>
        </w:rPr>
        <w:t>12:48 PM – Q8 asked by @niwrc</w:t>
      </w:r>
    </w:p>
    <w:p w14:paraId="302A3813" w14:textId="77777777" w:rsidR="002D514D" w:rsidRDefault="002D514D"/>
    <w:tbl>
      <w:tblPr>
        <w:tblStyle w:val="afa"/>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2D514D" w14:paraId="09650596" w14:textId="77777777">
        <w:trPr>
          <w:trHeight w:val="480"/>
        </w:trPr>
        <w:tc>
          <w:tcPr>
            <w:tcW w:w="912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5EB60EDC" w14:textId="77777777" w:rsidR="002D514D" w:rsidRDefault="008422B1">
            <w:pPr>
              <w:widowControl w:val="0"/>
              <w:pBdr>
                <w:top w:val="nil"/>
                <w:left w:val="nil"/>
                <w:bottom w:val="nil"/>
                <w:right w:val="nil"/>
                <w:between w:val="nil"/>
              </w:pBdr>
            </w:pPr>
            <w:r>
              <w:t>@niwrc will post</w:t>
            </w:r>
          </w:p>
        </w:tc>
      </w:tr>
      <w:tr w:rsidR="002D514D" w14:paraId="601F1C76" w14:textId="77777777">
        <w:trPr>
          <w:trHeight w:val="480"/>
        </w:trPr>
        <w:tc>
          <w:tcPr>
            <w:tcW w:w="9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94020B" w14:textId="77777777" w:rsidR="002D514D" w:rsidRDefault="008422B1">
            <w:pPr>
              <w:spacing w:line="240" w:lineRule="auto"/>
              <w:rPr>
                <w:color w:val="CC0000"/>
              </w:rPr>
            </w:pPr>
            <w:r>
              <w:t xml:space="preserve">Q8: What more can people do individually (allies included) to honor and take action for missing and murdered Indigenous women and demand change at the tribal, federal and local levels? </w:t>
            </w:r>
            <w:r>
              <w:rPr>
                <w:color w:val="CC0000"/>
              </w:rPr>
              <w:t>#MMIWGActionNow</w:t>
            </w:r>
          </w:p>
        </w:tc>
      </w:tr>
    </w:tbl>
    <w:p w14:paraId="2493CB1D" w14:textId="77777777" w:rsidR="002D514D" w:rsidRDefault="002D514D">
      <w:pPr>
        <w:rPr>
          <w:b/>
          <w:highlight w:val="white"/>
        </w:rPr>
      </w:pPr>
    </w:p>
    <w:p w14:paraId="54E3CEC2" w14:textId="77777777" w:rsidR="002D514D" w:rsidRDefault="008422B1">
      <w:pPr>
        <w:rPr>
          <w:b/>
          <w:color w:val="000000"/>
          <w:highlight w:val="white"/>
        </w:rPr>
      </w:pPr>
      <w:r>
        <w:rPr>
          <w:b/>
          <w:color w:val="000000"/>
          <w:highlight w:val="white"/>
        </w:rPr>
        <w:t xml:space="preserve">Final Post - </w:t>
      </w:r>
      <w:r>
        <w:rPr>
          <w:i/>
        </w:rPr>
        <w:t>by @niwrc | 1:00 p.m.</w:t>
      </w:r>
    </w:p>
    <w:p w14:paraId="427FBD4C" w14:textId="77777777" w:rsidR="002D514D" w:rsidRDefault="008422B1">
      <w:r>
        <w:t xml:space="preserve">And that wraps up </w:t>
      </w:r>
      <w:r>
        <w:t xml:space="preserve">our </w:t>
      </w:r>
      <w:r>
        <w:rPr>
          <w:color w:val="CC0000"/>
        </w:rPr>
        <w:t>#MMIWGActionNow</w:t>
      </w:r>
      <w:r>
        <w:t xml:space="preserve"> Twitter Chat. Thx to @_IllumiNatives + everyone for speaking up for #MMIWG2S lives! Join our May 5th webinar STARTING NOW, ‘Uplifting Voices of MMIW Families’: bit.ly/3sANEzD &amp; take action every day!</w:t>
      </w:r>
    </w:p>
    <w:p w14:paraId="398DD7C3" w14:textId="77777777" w:rsidR="002D514D" w:rsidRDefault="002D514D"/>
    <w:p w14:paraId="119B34CD" w14:textId="77777777" w:rsidR="002D514D" w:rsidRDefault="008422B1">
      <w:pPr>
        <w:rPr>
          <w:rFonts w:ascii="Roboto" w:eastAsia="Roboto" w:hAnsi="Roboto" w:cs="Roboto"/>
          <w:color w:val="1B95E0"/>
          <w:sz w:val="30"/>
          <w:szCs w:val="30"/>
          <w:highlight w:val="white"/>
        </w:rPr>
      </w:pPr>
      <w:r>
        <w:t>More: niwrc.org/</w:t>
      </w:r>
      <w:proofErr w:type="spellStart"/>
      <w:r>
        <w:t>mmiwgnatlweek</w:t>
      </w:r>
      <w:proofErr w:type="spellEnd"/>
    </w:p>
    <w:p w14:paraId="0A45519A" w14:textId="77777777" w:rsidR="002D514D" w:rsidRDefault="002D514D">
      <w:pPr>
        <w:rPr>
          <w:color w:val="1D2129"/>
          <w:highlight w:val="white"/>
        </w:rPr>
      </w:pPr>
    </w:p>
    <w:p w14:paraId="20582C1B" w14:textId="77777777" w:rsidR="002D514D" w:rsidRDefault="002D514D">
      <w:pPr>
        <w:rPr>
          <w:color w:val="1D2129"/>
          <w:highlight w:val="white"/>
        </w:rPr>
      </w:pPr>
    </w:p>
    <w:p w14:paraId="71A0D342" w14:textId="77777777" w:rsidR="002D514D" w:rsidRDefault="002D514D">
      <w:pPr>
        <w:spacing w:before="240" w:after="240"/>
        <w:jc w:val="center"/>
        <w:rPr>
          <w:b/>
        </w:rPr>
      </w:pPr>
    </w:p>
    <w:p w14:paraId="41D587CF" w14:textId="77777777" w:rsidR="002D514D" w:rsidRDefault="002D514D">
      <w:pPr>
        <w:shd w:val="clear" w:color="auto" w:fill="FFFFFF"/>
        <w:rPr>
          <w:color w:val="1D2129"/>
          <w:highlight w:val="white"/>
        </w:rPr>
      </w:pPr>
    </w:p>
    <w:sectPr w:rsidR="002D514D">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AAA7" w14:textId="77777777" w:rsidR="008422B1" w:rsidRDefault="008422B1">
      <w:pPr>
        <w:spacing w:line="240" w:lineRule="auto"/>
      </w:pPr>
      <w:r>
        <w:separator/>
      </w:r>
    </w:p>
  </w:endnote>
  <w:endnote w:type="continuationSeparator" w:id="0">
    <w:p w14:paraId="7FB4538D" w14:textId="77777777" w:rsidR="008422B1" w:rsidRDefault="00842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592FF" w14:textId="77777777" w:rsidR="008422B1" w:rsidRDefault="008422B1">
      <w:pPr>
        <w:spacing w:line="240" w:lineRule="auto"/>
      </w:pPr>
      <w:r>
        <w:separator/>
      </w:r>
    </w:p>
  </w:footnote>
  <w:footnote w:type="continuationSeparator" w:id="0">
    <w:p w14:paraId="21318E02" w14:textId="77777777" w:rsidR="008422B1" w:rsidRDefault="00842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8449" w14:textId="77777777" w:rsidR="002D514D" w:rsidRDefault="002D514D">
    <w:pPr>
      <w:pBdr>
        <w:top w:val="nil"/>
        <w:left w:val="nil"/>
        <w:bottom w:val="nil"/>
        <w:right w:val="nil"/>
        <w:between w:val="nil"/>
      </w:pBdr>
      <w:tabs>
        <w:tab w:val="center" w:pos="4680"/>
        <w:tab w:val="right" w:pos="9360"/>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850B" w14:textId="77777777" w:rsidR="002D514D" w:rsidRDefault="008422B1">
    <w:pPr>
      <w:pBdr>
        <w:top w:val="nil"/>
        <w:left w:val="nil"/>
        <w:bottom w:val="nil"/>
        <w:right w:val="nil"/>
        <w:between w:val="nil"/>
      </w:pBdr>
      <w:tabs>
        <w:tab w:val="center" w:pos="4680"/>
        <w:tab w:val="right" w:pos="9360"/>
      </w:tabs>
      <w:spacing w:line="240" w:lineRule="auto"/>
      <w:jc w:val="center"/>
      <w:rPr>
        <w:color w:val="000000"/>
      </w:rPr>
    </w:pPr>
    <w:r>
      <w:rPr>
        <w:noProof/>
        <w:color w:val="000000"/>
      </w:rPr>
      <w:drawing>
        <wp:inline distT="0" distB="0" distL="0" distR="0" wp14:anchorId="1F871843" wp14:editId="1CBA943D">
          <wp:extent cx="1378221" cy="1164568"/>
          <wp:effectExtent l="0" t="0" r="0" b="0"/>
          <wp:docPr id="4"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10;&#10;Description automatically generated"/>
                  <pic:cNvPicPr preferRelativeResize="0"/>
                </pic:nvPicPr>
                <pic:blipFill>
                  <a:blip r:embed="rId1"/>
                  <a:srcRect/>
                  <a:stretch>
                    <a:fillRect/>
                  </a:stretch>
                </pic:blipFill>
                <pic:spPr>
                  <a:xfrm>
                    <a:off x="0" y="0"/>
                    <a:ext cx="1378221" cy="1164568"/>
                  </a:xfrm>
                  <a:prstGeom prst="rect">
                    <a:avLst/>
                  </a:prstGeom>
                  <a:ln/>
                </pic:spPr>
              </pic:pic>
            </a:graphicData>
          </a:graphic>
        </wp:inline>
      </w:drawing>
    </w:r>
    <w:r>
      <w:rPr>
        <w:color w:val="000000"/>
      </w:rPr>
      <w:t xml:space="preserve">         </w:t>
    </w:r>
    <w:r>
      <w:rPr>
        <w:noProof/>
        <w:color w:val="000000"/>
      </w:rPr>
      <w:drawing>
        <wp:inline distT="0" distB="0" distL="0" distR="0" wp14:anchorId="3CD5B018" wp14:editId="6CD14A94">
          <wp:extent cx="1329070" cy="1254656"/>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b="5597"/>
                  <a:stretch>
                    <a:fillRect/>
                  </a:stretch>
                </pic:blipFill>
                <pic:spPr>
                  <a:xfrm>
                    <a:off x="0" y="0"/>
                    <a:ext cx="1329070" cy="1254656"/>
                  </a:xfrm>
                  <a:prstGeom prst="rect">
                    <a:avLst/>
                  </a:prstGeom>
                  <a:ln/>
                </pic:spPr>
              </pic:pic>
            </a:graphicData>
          </a:graphic>
        </wp:inline>
      </w:drawing>
    </w:r>
  </w:p>
  <w:p w14:paraId="0CC4F182" w14:textId="77777777" w:rsidR="002D514D" w:rsidRDefault="002D514D">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4D"/>
    <w:rsid w:val="002D514D"/>
    <w:rsid w:val="00602996"/>
    <w:rsid w:val="0076576A"/>
    <w:rsid w:val="0084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AB254A"/>
  <w15:docId w15:val="{34298B81-0240-8D45-AC1C-3D712924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B21E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21EB"/>
    <w:rPr>
      <w:rFonts w:ascii="Times New Roman" w:hAnsi="Times New Roman" w:cs="Times New Roman"/>
      <w:sz w:val="18"/>
      <w:szCs w:val="18"/>
    </w:rPr>
  </w:style>
  <w:style w:type="paragraph" w:styleId="NormalWeb">
    <w:name w:val="Normal (Web)"/>
    <w:basedOn w:val="Normal"/>
    <w:uiPriority w:val="99"/>
    <w:unhideWhenUsed/>
    <w:rsid w:val="001B21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E765D"/>
    <w:rPr>
      <w:color w:val="0000FF" w:themeColor="hyperlink"/>
      <w:u w:val="single"/>
    </w:rPr>
  </w:style>
  <w:style w:type="character" w:styleId="UnresolvedMention">
    <w:name w:val="Unresolved Mention"/>
    <w:basedOn w:val="DefaultParagraphFont"/>
    <w:uiPriority w:val="99"/>
    <w:semiHidden/>
    <w:unhideWhenUsed/>
    <w:rsid w:val="00FE765D"/>
    <w:rPr>
      <w:color w:val="605E5C"/>
      <w:shd w:val="clear" w:color="auto" w:fill="E1DFDD"/>
    </w:rPr>
  </w:style>
  <w:style w:type="paragraph" w:styleId="Header">
    <w:name w:val="header"/>
    <w:basedOn w:val="Normal"/>
    <w:link w:val="HeaderChar"/>
    <w:uiPriority w:val="99"/>
    <w:unhideWhenUsed/>
    <w:rsid w:val="00FE765D"/>
    <w:pPr>
      <w:tabs>
        <w:tab w:val="center" w:pos="4680"/>
        <w:tab w:val="right" w:pos="9360"/>
      </w:tabs>
      <w:spacing w:line="240" w:lineRule="auto"/>
    </w:pPr>
  </w:style>
  <w:style w:type="character" w:customStyle="1" w:styleId="HeaderChar">
    <w:name w:val="Header Char"/>
    <w:basedOn w:val="DefaultParagraphFont"/>
    <w:link w:val="Header"/>
    <w:uiPriority w:val="99"/>
    <w:rsid w:val="00FE765D"/>
  </w:style>
  <w:style w:type="paragraph" w:styleId="Footer">
    <w:name w:val="footer"/>
    <w:basedOn w:val="Normal"/>
    <w:link w:val="FooterChar"/>
    <w:uiPriority w:val="99"/>
    <w:unhideWhenUsed/>
    <w:rsid w:val="00FE765D"/>
    <w:pPr>
      <w:tabs>
        <w:tab w:val="center" w:pos="4680"/>
        <w:tab w:val="right" w:pos="9360"/>
      </w:tabs>
      <w:spacing w:line="240" w:lineRule="auto"/>
    </w:pPr>
  </w:style>
  <w:style w:type="character" w:customStyle="1" w:styleId="FooterChar">
    <w:name w:val="Footer Char"/>
    <w:basedOn w:val="DefaultParagraphFont"/>
    <w:link w:val="Footer"/>
    <w:uiPriority w:val="99"/>
    <w:rsid w:val="00FE765D"/>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f8">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f9">
    <w:basedOn w:val="TableNormal"/>
    <w:tblPr>
      <w:tblStyleRowBandSize w:val="1"/>
      <w:tblStyleColBandSize w:val="1"/>
      <w:tblCellMar>
        <w:top w:w="100" w:type="dxa"/>
        <w:left w:w="100" w:type="dxa"/>
        <w:bottom w:w="100" w:type="dxa"/>
        <w:right w:w="100" w:type="dxa"/>
      </w:tblCellMar>
    </w:tblPr>
    <w:tcPr>
      <w:shd w:val="clear" w:color="auto" w:fill="C5E0B3"/>
    </w:tcPr>
  </w:style>
  <w:style w:type="table" w:customStyle="1" w:styleId="afa">
    <w:basedOn w:val="TableNormal"/>
    <w:tblPr>
      <w:tblStyleRowBandSize w:val="1"/>
      <w:tblStyleColBandSize w:val="1"/>
      <w:tblCellMar>
        <w:top w:w="100" w:type="dxa"/>
        <w:left w:w="100" w:type="dxa"/>
        <w:bottom w:w="100" w:type="dxa"/>
        <w:right w:w="100" w:type="dxa"/>
      </w:tblCellMar>
    </w:tblPr>
    <w:tcPr>
      <w:shd w:val="clear" w:color="auto" w:fill="C5E0B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e9VaCN549wPLJup/dV0UPA57Ag==">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Mallory Adamski</cp:lastModifiedBy>
  <cp:revision>2</cp:revision>
  <dcterms:created xsi:type="dcterms:W3CDTF">2021-04-23T20:26:00Z</dcterms:created>
  <dcterms:modified xsi:type="dcterms:W3CDTF">2021-04-23T20:26:00Z</dcterms:modified>
</cp:coreProperties>
</file>