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7A630" w14:textId="77777777" w:rsidR="00165A80" w:rsidRDefault="00165A80" w:rsidP="00165A80">
      <w:pPr>
        <w:pStyle w:val="Heading3"/>
        <w:ind w:left="780"/>
      </w:pPr>
      <w:r>
        <w:rPr>
          <w:color w:val="231F20"/>
        </w:rPr>
        <w:t>ASSESSING WHETHER BATTERERS WILL KILL</w:t>
      </w:r>
    </w:p>
    <w:p w14:paraId="520F316A" w14:textId="77777777" w:rsidR="00165A80" w:rsidRDefault="00165A80" w:rsidP="00165A80">
      <w:pPr>
        <w:pStyle w:val="BodyText"/>
        <w:spacing w:before="519" w:line="249" w:lineRule="auto"/>
        <w:ind w:left="259" w:right="1818"/>
        <w:jc w:val="both"/>
      </w:pPr>
      <w:r>
        <w:rPr>
          <w:color w:val="231F20"/>
        </w:rPr>
        <w:t>Some batterers are life-endangering. While it is true that all batterers are dangerous, some are more likely to kill than others and some more likely to kill at specific times. Regardless of whether there  is</w:t>
      </w:r>
      <w:r>
        <w:rPr>
          <w:color w:val="231F20"/>
          <w:spacing w:val="-5"/>
        </w:rPr>
        <w:t xml:space="preserve"> </w:t>
      </w:r>
      <w:r>
        <w:rPr>
          <w:color w:val="231F20"/>
        </w:rPr>
        <w:t>a</w:t>
      </w:r>
      <w:r>
        <w:rPr>
          <w:color w:val="231F20"/>
          <w:spacing w:val="-4"/>
        </w:rPr>
        <w:t xml:space="preserve"> </w:t>
      </w:r>
      <w:r>
        <w:rPr>
          <w:color w:val="231F20"/>
        </w:rPr>
        <w:t>protection</w:t>
      </w:r>
      <w:r>
        <w:rPr>
          <w:color w:val="231F20"/>
          <w:spacing w:val="-4"/>
        </w:rPr>
        <w:t xml:space="preserve"> </w:t>
      </w:r>
      <w:r>
        <w:rPr>
          <w:color w:val="231F20"/>
        </w:rPr>
        <w:t>from</w:t>
      </w:r>
      <w:r>
        <w:rPr>
          <w:color w:val="231F20"/>
          <w:spacing w:val="-4"/>
        </w:rPr>
        <w:t xml:space="preserve"> </w:t>
      </w:r>
      <w:r>
        <w:rPr>
          <w:color w:val="231F20"/>
        </w:rPr>
        <w:t>abuse</w:t>
      </w:r>
      <w:r>
        <w:rPr>
          <w:color w:val="231F20"/>
          <w:spacing w:val="-4"/>
        </w:rPr>
        <w:t xml:space="preserve"> </w:t>
      </w:r>
      <w:r>
        <w:rPr>
          <w:color w:val="231F20"/>
        </w:rPr>
        <w:t>order</w:t>
      </w:r>
      <w:r>
        <w:rPr>
          <w:color w:val="231F20"/>
          <w:spacing w:val="-4"/>
        </w:rPr>
        <w:t xml:space="preserve"> </w:t>
      </w:r>
      <w:r>
        <w:rPr>
          <w:color w:val="231F20"/>
        </w:rPr>
        <w:t>in</w:t>
      </w:r>
      <w:r>
        <w:rPr>
          <w:color w:val="231F20"/>
          <w:spacing w:val="-4"/>
        </w:rPr>
        <w:t xml:space="preserve"> </w:t>
      </w:r>
      <w:r>
        <w:rPr>
          <w:color w:val="231F20"/>
        </w:rPr>
        <w:t>effect,</w:t>
      </w:r>
      <w:r>
        <w:rPr>
          <w:color w:val="231F20"/>
          <w:spacing w:val="-5"/>
        </w:rPr>
        <w:t xml:space="preserve"> </w:t>
      </w:r>
      <w:r>
        <w:rPr>
          <w:color w:val="231F20"/>
        </w:rPr>
        <w:t>officers</w:t>
      </w:r>
      <w:r>
        <w:rPr>
          <w:color w:val="231F20"/>
          <w:spacing w:val="-4"/>
        </w:rPr>
        <w:t xml:space="preserve"> </w:t>
      </w:r>
      <w:r>
        <w:rPr>
          <w:color w:val="231F20"/>
        </w:rPr>
        <w:t>should</w:t>
      </w:r>
      <w:r>
        <w:rPr>
          <w:color w:val="231F20"/>
          <w:spacing w:val="-4"/>
        </w:rPr>
        <w:t xml:space="preserve"> </w:t>
      </w:r>
      <w:r>
        <w:rPr>
          <w:color w:val="231F20"/>
        </w:rPr>
        <w:t>evaluate</w:t>
      </w:r>
      <w:r>
        <w:rPr>
          <w:color w:val="231F20"/>
          <w:spacing w:val="-4"/>
        </w:rPr>
        <w:t xml:space="preserve"> </w:t>
      </w:r>
      <w:r>
        <w:rPr>
          <w:color w:val="231F20"/>
        </w:rPr>
        <w:t>whether</w:t>
      </w:r>
      <w:r>
        <w:rPr>
          <w:color w:val="231F20"/>
          <w:spacing w:val="-4"/>
        </w:rPr>
        <w:t xml:space="preserve"> </w:t>
      </w:r>
      <w:r>
        <w:rPr>
          <w:color w:val="231F20"/>
        </w:rPr>
        <w:t>an</w:t>
      </w:r>
      <w:r>
        <w:rPr>
          <w:color w:val="231F20"/>
          <w:spacing w:val="-4"/>
        </w:rPr>
        <w:t xml:space="preserve"> </w:t>
      </w:r>
      <w:r>
        <w:rPr>
          <w:color w:val="231F20"/>
        </w:rPr>
        <w:t>assailant</w:t>
      </w:r>
      <w:r>
        <w:rPr>
          <w:color w:val="231F20"/>
          <w:spacing w:val="-4"/>
        </w:rPr>
        <w:t xml:space="preserve"> </w:t>
      </w:r>
      <w:r>
        <w:rPr>
          <w:color w:val="231F20"/>
        </w:rPr>
        <w:t>is</w:t>
      </w:r>
      <w:r>
        <w:rPr>
          <w:color w:val="231F20"/>
          <w:spacing w:val="-5"/>
        </w:rPr>
        <w:t xml:space="preserve"> </w:t>
      </w:r>
      <w:r>
        <w:rPr>
          <w:color w:val="231F20"/>
        </w:rPr>
        <w:t>likely</w:t>
      </w:r>
      <w:r>
        <w:rPr>
          <w:color w:val="231F20"/>
          <w:spacing w:val="-4"/>
        </w:rPr>
        <w:t xml:space="preserve"> </w:t>
      </w:r>
      <w:r>
        <w:rPr>
          <w:color w:val="231F20"/>
        </w:rPr>
        <w:t>to</w:t>
      </w:r>
      <w:r>
        <w:rPr>
          <w:color w:val="231F20"/>
          <w:spacing w:val="-4"/>
        </w:rPr>
        <w:t xml:space="preserve"> </w:t>
      </w:r>
      <w:r>
        <w:rPr>
          <w:color w:val="231F20"/>
        </w:rPr>
        <w:t>kill his partner or other family members and/or police personnel and take appropriate action.</w:t>
      </w:r>
    </w:p>
    <w:p w14:paraId="2BE78F45" w14:textId="77777777" w:rsidR="00165A80" w:rsidRDefault="00165A80" w:rsidP="00165A80">
      <w:pPr>
        <w:pStyle w:val="BodyText"/>
        <w:spacing w:before="280" w:line="249" w:lineRule="auto"/>
        <w:ind w:left="259" w:right="1818"/>
        <w:jc w:val="both"/>
      </w:pPr>
      <w:r>
        <w:rPr>
          <w:color w:val="231F20"/>
        </w:rPr>
        <w:t xml:space="preserve">Assessment is tricky and never foolproof. It is important to conduct an assessment at every call, no matter how many times an officer has responded to the same household. The dispatcher </w:t>
      </w:r>
      <w:r>
        <w:rPr>
          <w:color w:val="231F20"/>
          <w:spacing w:val="-4"/>
        </w:rPr>
        <w:t xml:space="preserve">and </w:t>
      </w:r>
      <w:r>
        <w:rPr>
          <w:color w:val="231F20"/>
        </w:rPr>
        <w:t>responding</w:t>
      </w:r>
      <w:r>
        <w:rPr>
          <w:color w:val="231F20"/>
          <w:spacing w:val="-4"/>
        </w:rPr>
        <w:t xml:space="preserve"> </w:t>
      </w:r>
      <w:r>
        <w:rPr>
          <w:color w:val="231F20"/>
        </w:rPr>
        <w:t>officer</w:t>
      </w:r>
      <w:r>
        <w:rPr>
          <w:color w:val="231F20"/>
          <w:spacing w:val="-3"/>
        </w:rPr>
        <w:t xml:space="preserve"> </w:t>
      </w:r>
      <w:r>
        <w:rPr>
          <w:color w:val="231F20"/>
        </w:rPr>
        <w:t>can</w:t>
      </w:r>
      <w:r>
        <w:rPr>
          <w:color w:val="231F20"/>
          <w:spacing w:val="-3"/>
        </w:rPr>
        <w:t xml:space="preserve"> </w:t>
      </w:r>
      <w:r>
        <w:rPr>
          <w:color w:val="231F20"/>
        </w:rPr>
        <w:t>utilize</w:t>
      </w:r>
      <w:r>
        <w:rPr>
          <w:color w:val="231F20"/>
          <w:spacing w:val="-4"/>
        </w:rPr>
        <w:t xml:space="preserve"> </w:t>
      </w:r>
      <w:r>
        <w:rPr>
          <w:color w:val="231F20"/>
        </w:rPr>
        <w:t>the</w:t>
      </w:r>
      <w:r>
        <w:rPr>
          <w:color w:val="231F20"/>
          <w:spacing w:val="-3"/>
        </w:rPr>
        <w:t xml:space="preserve"> </w:t>
      </w:r>
      <w:r>
        <w:rPr>
          <w:color w:val="231F20"/>
        </w:rPr>
        <w:t>indicators</w:t>
      </w:r>
      <w:r>
        <w:rPr>
          <w:color w:val="231F20"/>
          <w:spacing w:val="-3"/>
        </w:rPr>
        <w:t xml:space="preserve"> </w:t>
      </w:r>
      <w:r>
        <w:rPr>
          <w:color w:val="231F20"/>
        </w:rPr>
        <w:t>described</w:t>
      </w:r>
      <w:r>
        <w:rPr>
          <w:color w:val="231F20"/>
          <w:spacing w:val="-3"/>
        </w:rPr>
        <w:t xml:space="preserve"> </w:t>
      </w:r>
      <w:r>
        <w:rPr>
          <w:color w:val="231F20"/>
        </w:rPr>
        <w:t>below</w:t>
      </w:r>
      <w:r>
        <w:rPr>
          <w:color w:val="231F20"/>
          <w:spacing w:val="-4"/>
        </w:rPr>
        <w:t xml:space="preserve"> </w:t>
      </w:r>
      <w:r>
        <w:rPr>
          <w:color w:val="231F20"/>
        </w:rPr>
        <w:t>in</w:t>
      </w:r>
      <w:r>
        <w:rPr>
          <w:color w:val="231F20"/>
          <w:spacing w:val="-3"/>
        </w:rPr>
        <w:t xml:space="preserve"> </w:t>
      </w:r>
      <w:r>
        <w:rPr>
          <w:color w:val="231F20"/>
        </w:rPr>
        <w:t>making</w:t>
      </w:r>
      <w:r>
        <w:rPr>
          <w:color w:val="231F20"/>
          <w:spacing w:val="-3"/>
        </w:rPr>
        <w:t xml:space="preserve"> </w:t>
      </w:r>
      <w:r>
        <w:rPr>
          <w:color w:val="231F20"/>
        </w:rPr>
        <w:t>an</w:t>
      </w:r>
      <w:r>
        <w:rPr>
          <w:color w:val="231F20"/>
          <w:spacing w:val="-4"/>
        </w:rPr>
        <w:t xml:space="preserve"> </w:t>
      </w:r>
      <w:r>
        <w:rPr>
          <w:color w:val="231F20"/>
        </w:rPr>
        <w:t>assessment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batterer's </w:t>
      </w:r>
      <w:r>
        <w:rPr>
          <w:color w:val="231F20"/>
        </w:rPr>
        <w:t>potential to kill. Considering these factors may or may not reveal actual potential for homicidal assault. But, the likelihood of a homicide is greater when these factors are present. The greater the number of indicators, the greater the likelihood of a life-threatening</w:t>
      </w:r>
      <w:r>
        <w:rPr>
          <w:color w:val="231F20"/>
          <w:spacing w:val="50"/>
        </w:rPr>
        <w:t xml:space="preserve"> </w:t>
      </w:r>
      <w:r>
        <w:rPr>
          <w:color w:val="231F20"/>
        </w:rPr>
        <w:t>attack.</w:t>
      </w:r>
    </w:p>
    <w:p w14:paraId="6D7002C9" w14:textId="77777777" w:rsidR="00165A80" w:rsidRDefault="00165A80" w:rsidP="00165A80">
      <w:pPr>
        <w:pStyle w:val="BodyText"/>
        <w:spacing w:before="281" w:line="249" w:lineRule="auto"/>
        <w:ind w:left="259" w:right="1818"/>
        <w:jc w:val="both"/>
      </w:pPr>
      <w:r>
        <w:rPr>
          <w:color w:val="231F20"/>
        </w:rPr>
        <w:t xml:space="preserve">Use all of the information you </w:t>
      </w:r>
      <w:r>
        <w:rPr>
          <w:color w:val="231F20"/>
          <w:spacing w:val="-3"/>
        </w:rPr>
        <w:t xml:space="preserve">have </w:t>
      </w:r>
      <w:r>
        <w:rPr>
          <w:color w:val="231F20"/>
        </w:rPr>
        <w:t xml:space="preserve">about the batterer, current as well as past incident information. </w:t>
      </w:r>
      <w:r>
        <w:rPr>
          <w:color w:val="231F20"/>
          <w:spacing w:val="-11"/>
        </w:rPr>
        <w:t xml:space="preserve">A </w:t>
      </w:r>
      <w:r>
        <w:rPr>
          <w:color w:val="231F20"/>
        </w:rPr>
        <w:t xml:space="preserve">thorough investigation at the scene will provide much of the information necessary to make </w:t>
      </w:r>
      <w:r>
        <w:rPr>
          <w:color w:val="231F20"/>
          <w:spacing w:val="-4"/>
        </w:rPr>
        <w:t xml:space="preserve">this </w:t>
      </w:r>
      <w:r>
        <w:rPr>
          <w:color w:val="231F20"/>
        </w:rPr>
        <w:t xml:space="preserve">assessment. </w:t>
      </w:r>
      <w:r>
        <w:rPr>
          <w:color w:val="231F20"/>
          <w:spacing w:val="-4"/>
        </w:rPr>
        <w:t xml:space="preserve">However, </w:t>
      </w:r>
      <w:r>
        <w:rPr>
          <w:color w:val="231F20"/>
        </w:rPr>
        <w:t xml:space="preserve">law enforcement will not obtain reliable information from an </w:t>
      </w:r>
      <w:r>
        <w:rPr>
          <w:color w:val="231F20"/>
          <w:spacing w:val="-3"/>
        </w:rPr>
        <w:t xml:space="preserve">interview </w:t>
      </w:r>
      <w:r>
        <w:rPr>
          <w:color w:val="231F20"/>
        </w:rPr>
        <w:t>conducted with the victim and perpetrator together or from the batterer</w:t>
      </w:r>
      <w:r>
        <w:rPr>
          <w:color w:val="231F20"/>
          <w:spacing w:val="55"/>
        </w:rPr>
        <w:t xml:space="preserve"> </w:t>
      </w:r>
      <w:r>
        <w:rPr>
          <w:color w:val="231F20"/>
        </w:rPr>
        <w:t>alone.</w:t>
      </w:r>
    </w:p>
    <w:p w14:paraId="7D27C61D" w14:textId="77777777" w:rsidR="00165A80" w:rsidRDefault="00165A80" w:rsidP="00165A80">
      <w:pPr>
        <w:pStyle w:val="ListParagraph"/>
        <w:numPr>
          <w:ilvl w:val="0"/>
          <w:numId w:val="1"/>
        </w:numPr>
        <w:tabs>
          <w:tab w:val="left" w:pos="980"/>
        </w:tabs>
        <w:spacing w:before="280" w:line="249" w:lineRule="auto"/>
        <w:ind w:right="1818"/>
        <w:jc w:val="both"/>
        <w:rPr>
          <w:sz w:val="23"/>
        </w:rPr>
      </w:pPr>
      <w:r>
        <w:rPr>
          <w:b/>
          <w:color w:val="231F20"/>
          <w:sz w:val="23"/>
        </w:rPr>
        <w:t xml:space="preserve">Threats of homicide or suicide. </w:t>
      </w:r>
      <w:r>
        <w:rPr>
          <w:color w:val="231F20"/>
          <w:sz w:val="23"/>
        </w:rPr>
        <w:t xml:space="preserve">The batterer who has threatened to kill himself, his </w:t>
      </w:r>
      <w:r>
        <w:rPr>
          <w:color w:val="231F20"/>
          <w:spacing w:val="-4"/>
          <w:sz w:val="23"/>
        </w:rPr>
        <w:t xml:space="preserve">partner, </w:t>
      </w:r>
      <w:r>
        <w:rPr>
          <w:color w:val="231F20"/>
          <w:sz w:val="23"/>
        </w:rPr>
        <w:t>the children or her relatives must be considered extremely</w:t>
      </w:r>
      <w:r>
        <w:rPr>
          <w:color w:val="231F20"/>
          <w:spacing w:val="42"/>
          <w:sz w:val="23"/>
        </w:rPr>
        <w:t xml:space="preserve"> </w:t>
      </w:r>
      <w:r>
        <w:rPr>
          <w:color w:val="231F20"/>
          <w:sz w:val="23"/>
        </w:rPr>
        <w:t>dangerous.</w:t>
      </w:r>
    </w:p>
    <w:p w14:paraId="79E8325B" w14:textId="77777777" w:rsidR="00165A80" w:rsidRDefault="00165A80" w:rsidP="00165A80">
      <w:pPr>
        <w:pStyle w:val="ListParagraph"/>
        <w:numPr>
          <w:ilvl w:val="0"/>
          <w:numId w:val="1"/>
        </w:numPr>
        <w:tabs>
          <w:tab w:val="left" w:pos="980"/>
        </w:tabs>
        <w:spacing w:line="249" w:lineRule="auto"/>
        <w:ind w:right="1818"/>
        <w:jc w:val="both"/>
        <w:rPr>
          <w:sz w:val="23"/>
        </w:rPr>
      </w:pPr>
      <w:r>
        <w:rPr>
          <w:b/>
          <w:color w:val="231F20"/>
          <w:sz w:val="23"/>
        </w:rPr>
        <w:t xml:space="preserve">Fantasies of homicide or suicide. </w:t>
      </w:r>
      <w:r>
        <w:rPr>
          <w:color w:val="231F20"/>
          <w:sz w:val="23"/>
        </w:rPr>
        <w:t>The more the batterer has developed a fantasy about</w:t>
      </w:r>
      <w:r>
        <w:rPr>
          <w:color w:val="231F20"/>
          <w:spacing w:val="-31"/>
          <w:sz w:val="23"/>
        </w:rPr>
        <w:t xml:space="preserve"> </w:t>
      </w:r>
      <w:r>
        <w:rPr>
          <w:color w:val="231F20"/>
          <w:sz w:val="23"/>
        </w:rPr>
        <w:t>who, how when and/or where to kill, the more dangerous he may be. The batterer who has previously</w:t>
      </w:r>
      <w:r>
        <w:rPr>
          <w:color w:val="231F20"/>
          <w:spacing w:val="-10"/>
          <w:sz w:val="23"/>
        </w:rPr>
        <w:t xml:space="preserve"> </w:t>
      </w:r>
      <w:r>
        <w:rPr>
          <w:color w:val="231F20"/>
          <w:sz w:val="23"/>
        </w:rPr>
        <w:t>acted</w:t>
      </w:r>
      <w:r>
        <w:rPr>
          <w:color w:val="231F20"/>
          <w:spacing w:val="-9"/>
          <w:sz w:val="23"/>
        </w:rPr>
        <w:t xml:space="preserve"> </w:t>
      </w:r>
      <w:r>
        <w:rPr>
          <w:color w:val="231F20"/>
          <w:sz w:val="23"/>
        </w:rPr>
        <w:t>out</w:t>
      </w:r>
      <w:r>
        <w:rPr>
          <w:color w:val="231F20"/>
          <w:spacing w:val="-9"/>
          <w:sz w:val="23"/>
        </w:rPr>
        <w:t xml:space="preserve"> </w:t>
      </w:r>
      <w:r>
        <w:rPr>
          <w:color w:val="231F20"/>
          <w:sz w:val="23"/>
        </w:rPr>
        <w:t>part</w:t>
      </w:r>
      <w:r>
        <w:rPr>
          <w:color w:val="231F20"/>
          <w:spacing w:val="-9"/>
          <w:sz w:val="23"/>
        </w:rPr>
        <w:t xml:space="preserve"> </w:t>
      </w:r>
      <w:r>
        <w:rPr>
          <w:color w:val="231F20"/>
          <w:sz w:val="23"/>
        </w:rPr>
        <w:t>of</w:t>
      </w:r>
      <w:r>
        <w:rPr>
          <w:color w:val="231F20"/>
          <w:spacing w:val="-9"/>
          <w:sz w:val="23"/>
        </w:rPr>
        <w:t xml:space="preserve"> </w:t>
      </w:r>
      <w:r>
        <w:rPr>
          <w:color w:val="231F20"/>
          <w:sz w:val="23"/>
        </w:rPr>
        <w:t>a</w:t>
      </w:r>
      <w:r>
        <w:rPr>
          <w:color w:val="231F20"/>
          <w:spacing w:val="-9"/>
          <w:sz w:val="23"/>
        </w:rPr>
        <w:t xml:space="preserve"> </w:t>
      </w:r>
      <w:r>
        <w:rPr>
          <w:color w:val="231F20"/>
          <w:sz w:val="23"/>
        </w:rPr>
        <w:t>homicide</w:t>
      </w:r>
      <w:r>
        <w:rPr>
          <w:color w:val="231F20"/>
          <w:spacing w:val="-9"/>
          <w:sz w:val="23"/>
        </w:rPr>
        <w:t xml:space="preserve"> </w:t>
      </w:r>
      <w:r>
        <w:rPr>
          <w:color w:val="231F20"/>
          <w:sz w:val="23"/>
        </w:rPr>
        <w:t>or</w:t>
      </w:r>
      <w:r>
        <w:rPr>
          <w:color w:val="231F20"/>
          <w:spacing w:val="-10"/>
          <w:sz w:val="23"/>
        </w:rPr>
        <w:t xml:space="preserve"> </w:t>
      </w:r>
      <w:r>
        <w:rPr>
          <w:color w:val="231F20"/>
          <w:sz w:val="23"/>
        </w:rPr>
        <w:t>suicide</w:t>
      </w:r>
      <w:r>
        <w:rPr>
          <w:color w:val="231F20"/>
          <w:spacing w:val="-9"/>
          <w:sz w:val="23"/>
        </w:rPr>
        <w:t xml:space="preserve"> </w:t>
      </w:r>
      <w:r>
        <w:rPr>
          <w:color w:val="231F20"/>
          <w:sz w:val="23"/>
        </w:rPr>
        <w:t>fantasy</w:t>
      </w:r>
      <w:r>
        <w:rPr>
          <w:color w:val="231F20"/>
          <w:spacing w:val="-9"/>
          <w:sz w:val="23"/>
        </w:rPr>
        <w:t xml:space="preserve"> </w:t>
      </w:r>
      <w:r>
        <w:rPr>
          <w:color w:val="231F20"/>
          <w:sz w:val="23"/>
        </w:rPr>
        <w:t>may</w:t>
      </w:r>
      <w:r>
        <w:rPr>
          <w:color w:val="231F20"/>
          <w:spacing w:val="-9"/>
          <w:sz w:val="23"/>
        </w:rPr>
        <w:t xml:space="preserve"> </w:t>
      </w:r>
      <w:r>
        <w:rPr>
          <w:color w:val="231F20"/>
          <w:sz w:val="23"/>
        </w:rPr>
        <w:t>be</w:t>
      </w:r>
      <w:r>
        <w:rPr>
          <w:color w:val="231F20"/>
          <w:spacing w:val="-9"/>
          <w:sz w:val="23"/>
        </w:rPr>
        <w:t xml:space="preserve"> </w:t>
      </w:r>
      <w:r>
        <w:rPr>
          <w:color w:val="231F20"/>
          <w:sz w:val="23"/>
        </w:rPr>
        <w:t>invested</w:t>
      </w:r>
      <w:r>
        <w:rPr>
          <w:color w:val="231F20"/>
          <w:spacing w:val="-9"/>
          <w:sz w:val="23"/>
        </w:rPr>
        <w:t xml:space="preserve"> </w:t>
      </w:r>
      <w:r>
        <w:rPr>
          <w:color w:val="231F20"/>
          <w:sz w:val="23"/>
        </w:rPr>
        <w:t>in</w:t>
      </w:r>
      <w:r>
        <w:rPr>
          <w:color w:val="231F20"/>
          <w:spacing w:val="-9"/>
          <w:sz w:val="23"/>
        </w:rPr>
        <w:t xml:space="preserve"> </w:t>
      </w:r>
      <w:r>
        <w:rPr>
          <w:color w:val="231F20"/>
          <w:sz w:val="23"/>
        </w:rPr>
        <w:t>killing</w:t>
      </w:r>
      <w:r>
        <w:rPr>
          <w:color w:val="231F20"/>
          <w:spacing w:val="-9"/>
          <w:sz w:val="23"/>
        </w:rPr>
        <w:t xml:space="preserve"> </w:t>
      </w:r>
      <w:r>
        <w:rPr>
          <w:color w:val="231F20"/>
          <w:sz w:val="23"/>
        </w:rPr>
        <w:t>as</w:t>
      </w:r>
      <w:r>
        <w:rPr>
          <w:color w:val="231F20"/>
          <w:spacing w:val="-10"/>
          <w:sz w:val="23"/>
        </w:rPr>
        <w:t xml:space="preserve"> </w:t>
      </w:r>
      <w:r>
        <w:rPr>
          <w:color w:val="231F20"/>
          <w:sz w:val="23"/>
        </w:rPr>
        <w:t>a</w:t>
      </w:r>
      <w:r>
        <w:rPr>
          <w:color w:val="231F20"/>
          <w:spacing w:val="-9"/>
          <w:sz w:val="23"/>
        </w:rPr>
        <w:t xml:space="preserve"> </w:t>
      </w:r>
      <w:r>
        <w:rPr>
          <w:color w:val="231F20"/>
          <w:spacing w:val="-3"/>
          <w:sz w:val="23"/>
        </w:rPr>
        <w:t xml:space="preserve">viable </w:t>
      </w:r>
      <w:r>
        <w:rPr>
          <w:color w:val="231F20"/>
          <w:sz w:val="23"/>
        </w:rPr>
        <w:t>"solution" to his problems. As in suicide assessment, the more detailed the plan and the more available the method, the greater the</w:t>
      </w:r>
      <w:r>
        <w:rPr>
          <w:color w:val="231F20"/>
          <w:spacing w:val="29"/>
          <w:sz w:val="23"/>
        </w:rPr>
        <w:t xml:space="preserve"> </w:t>
      </w:r>
      <w:r>
        <w:rPr>
          <w:color w:val="231F20"/>
          <w:sz w:val="23"/>
        </w:rPr>
        <w:t>risk.</w:t>
      </w:r>
    </w:p>
    <w:p w14:paraId="5BE0B595" w14:textId="77777777" w:rsidR="00165A80" w:rsidRDefault="00165A80" w:rsidP="00165A80">
      <w:pPr>
        <w:pStyle w:val="ListParagraph"/>
        <w:numPr>
          <w:ilvl w:val="0"/>
          <w:numId w:val="1"/>
        </w:numPr>
        <w:tabs>
          <w:tab w:val="left" w:pos="980"/>
        </w:tabs>
        <w:spacing w:before="281" w:line="249" w:lineRule="auto"/>
        <w:ind w:right="1818"/>
        <w:jc w:val="both"/>
        <w:rPr>
          <w:sz w:val="23"/>
        </w:rPr>
      </w:pPr>
      <w:r>
        <w:rPr>
          <w:b/>
          <w:color w:val="231F20"/>
          <w:sz w:val="23"/>
        </w:rPr>
        <w:t xml:space="preserve">Weapons. </w:t>
      </w:r>
      <w:r>
        <w:rPr>
          <w:color w:val="231F20"/>
          <w:sz w:val="23"/>
        </w:rPr>
        <w:t xml:space="preserve">Where a batterer possesses weapons and has used them or has threatened to use them in the past in his assaults on the woman, the children or himself, his access to those weapons increases his potential for lethal assault. The use of guns is a strong predictor </w:t>
      </w:r>
      <w:r>
        <w:rPr>
          <w:color w:val="231F20"/>
          <w:spacing w:val="-6"/>
          <w:sz w:val="23"/>
        </w:rPr>
        <w:t xml:space="preserve">of </w:t>
      </w:r>
      <w:r>
        <w:rPr>
          <w:color w:val="231F20"/>
          <w:sz w:val="23"/>
        </w:rPr>
        <w:t>homicide. If a batterer has a history of arson or the threat of arson, fire should be considered a</w:t>
      </w:r>
      <w:r>
        <w:rPr>
          <w:color w:val="231F20"/>
          <w:spacing w:val="5"/>
          <w:sz w:val="23"/>
        </w:rPr>
        <w:t xml:space="preserve"> </w:t>
      </w:r>
      <w:r>
        <w:rPr>
          <w:color w:val="231F20"/>
          <w:sz w:val="23"/>
        </w:rPr>
        <w:t>weapon.</w:t>
      </w:r>
    </w:p>
    <w:p w14:paraId="56A2FDF4" w14:textId="77777777" w:rsidR="00165A80" w:rsidRDefault="00165A80" w:rsidP="00165A80">
      <w:pPr>
        <w:pStyle w:val="ListParagraph"/>
        <w:numPr>
          <w:ilvl w:val="0"/>
          <w:numId w:val="1"/>
        </w:numPr>
        <w:tabs>
          <w:tab w:val="left" w:pos="980"/>
        </w:tabs>
        <w:spacing w:before="280" w:line="249" w:lineRule="auto"/>
        <w:ind w:left="978" w:right="1818"/>
        <w:jc w:val="both"/>
        <w:rPr>
          <w:sz w:val="23"/>
        </w:rPr>
      </w:pPr>
      <w:r>
        <w:rPr>
          <w:b/>
          <w:color w:val="231F20"/>
          <w:sz w:val="23"/>
        </w:rPr>
        <w:t xml:space="preserve">"Ownership" of the battered </w:t>
      </w:r>
      <w:r>
        <w:rPr>
          <w:b/>
          <w:color w:val="231F20"/>
          <w:spacing w:val="-4"/>
          <w:sz w:val="23"/>
        </w:rPr>
        <w:t>partner.</w:t>
      </w:r>
      <w:r>
        <w:rPr>
          <w:b/>
          <w:color w:val="231F20"/>
          <w:spacing w:val="49"/>
          <w:sz w:val="23"/>
        </w:rPr>
        <w:t xml:space="preserve"> </w:t>
      </w:r>
      <w:r>
        <w:rPr>
          <w:color w:val="231F20"/>
          <w:sz w:val="23"/>
        </w:rPr>
        <w:t xml:space="preserve">The batterer who </w:t>
      </w:r>
      <w:proofErr w:type="gramStart"/>
      <w:r>
        <w:rPr>
          <w:color w:val="231F20"/>
          <w:sz w:val="23"/>
        </w:rPr>
        <w:t>says</w:t>
      </w:r>
      <w:proofErr w:type="gramEnd"/>
      <w:r>
        <w:rPr>
          <w:color w:val="231F20"/>
          <w:sz w:val="23"/>
        </w:rPr>
        <w:t xml:space="preserve"> "Death before Divorce!" or </w:t>
      </w:r>
      <w:r>
        <w:rPr>
          <w:color w:val="231F20"/>
          <w:spacing w:val="-7"/>
          <w:sz w:val="23"/>
        </w:rPr>
        <w:t xml:space="preserve">"You </w:t>
      </w:r>
      <w:r>
        <w:rPr>
          <w:color w:val="231F20"/>
          <w:sz w:val="23"/>
        </w:rPr>
        <w:t xml:space="preserve">belong to me and will </w:t>
      </w:r>
      <w:r>
        <w:rPr>
          <w:color w:val="231F20"/>
          <w:spacing w:val="-3"/>
          <w:sz w:val="23"/>
        </w:rPr>
        <w:t xml:space="preserve">never </w:t>
      </w:r>
      <w:r>
        <w:rPr>
          <w:color w:val="231F20"/>
          <w:sz w:val="23"/>
        </w:rPr>
        <w:t>belong to another!" may be stating his fundamental belief that</w:t>
      </w:r>
      <w:r>
        <w:rPr>
          <w:color w:val="231F20"/>
          <w:spacing w:val="-9"/>
          <w:sz w:val="23"/>
        </w:rPr>
        <w:t xml:space="preserve"> </w:t>
      </w:r>
      <w:r>
        <w:rPr>
          <w:color w:val="231F20"/>
          <w:sz w:val="23"/>
        </w:rPr>
        <w:t>the</w:t>
      </w:r>
      <w:r>
        <w:rPr>
          <w:color w:val="231F20"/>
          <w:spacing w:val="-8"/>
          <w:sz w:val="23"/>
        </w:rPr>
        <w:t xml:space="preserve"> </w:t>
      </w:r>
      <w:r>
        <w:rPr>
          <w:color w:val="231F20"/>
          <w:sz w:val="23"/>
        </w:rPr>
        <w:t>woman</w:t>
      </w:r>
      <w:r>
        <w:rPr>
          <w:color w:val="231F20"/>
          <w:spacing w:val="-8"/>
          <w:sz w:val="23"/>
        </w:rPr>
        <w:t xml:space="preserve"> </w:t>
      </w:r>
      <w:r>
        <w:rPr>
          <w:color w:val="231F20"/>
          <w:sz w:val="23"/>
        </w:rPr>
        <w:t>has</w:t>
      </w:r>
      <w:r>
        <w:rPr>
          <w:color w:val="231F20"/>
          <w:spacing w:val="-8"/>
          <w:sz w:val="23"/>
        </w:rPr>
        <w:t xml:space="preserve"> </w:t>
      </w:r>
      <w:r>
        <w:rPr>
          <w:color w:val="231F20"/>
          <w:sz w:val="23"/>
        </w:rPr>
        <w:t>no</w:t>
      </w:r>
      <w:r>
        <w:rPr>
          <w:color w:val="231F20"/>
          <w:spacing w:val="-8"/>
          <w:sz w:val="23"/>
        </w:rPr>
        <w:t xml:space="preserve"> </w:t>
      </w:r>
      <w:r>
        <w:rPr>
          <w:color w:val="231F20"/>
          <w:sz w:val="23"/>
        </w:rPr>
        <w:t>right</w:t>
      </w:r>
      <w:r>
        <w:rPr>
          <w:color w:val="231F20"/>
          <w:spacing w:val="-8"/>
          <w:sz w:val="23"/>
        </w:rPr>
        <w:t xml:space="preserve"> </w:t>
      </w:r>
      <w:r>
        <w:rPr>
          <w:color w:val="231F20"/>
          <w:sz w:val="23"/>
        </w:rPr>
        <w:t>to</w:t>
      </w:r>
      <w:r>
        <w:rPr>
          <w:color w:val="231F20"/>
          <w:spacing w:val="-8"/>
          <w:sz w:val="23"/>
        </w:rPr>
        <w:t xml:space="preserve"> </w:t>
      </w:r>
      <w:r>
        <w:rPr>
          <w:color w:val="231F20"/>
          <w:sz w:val="23"/>
        </w:rPr>
        <w:t>life</w:t>
      </w:r>
      <w:r>
        <w:rPr>
          <w:color w:val="231F20"/>
          <w:spacing w:val="-8"/>
          <w:sz w:val="23"/>
        </w:rPr>
        <w:t xml:space="preserve"> </w:t>
      </w:r>
      <w:r>
        <w:rPr>
          <w:color w:val="231F20"/>
          <w:sz w:val="23"/>
        </w:rPr>
        <w:t>separate</w:t>
      </w:r>
      <w:r>
        <w:rPr>
          <w:color w:val="231F20"/>
          <w:spacing w:val="-8"/>
          <w:sz w:val="23"/>
        </w:rPr>
        <w:t xml:space="preserve"> </w:t>
      </w:r>
      <w:r>
        <w:rPr>
          <w:color w:val="231F20"/>
          <w:sz w:val="23"/>
        </w:rPr>
        <w:t>from</w:t>
      </w:r>
      <w:r>
        <w:rPr>
          <w:color w:val="231F20"/>
          <w:spacing w:val="-9"/>
          <w:sz w:val="23"/>
        </w:rPr>
        <w:t xml:space="preserve"> </w:t>
      </w:r>
      <w:r>
        <w:rPr>
          <w:color w:val="231F20"/>
          <w:sz w:val="23"/>
        </w:rPr>
        <w:t>him.</w:t>
      </w:r>
      <w:r>
        <w:rPr>
          <w:color w:val="231F20"/>
          <w:spacing w:val="29"/>
          <w:sz w:val="23"/>
        </w:rPr>
        <w:t xml:space="preserve"> </w:t>
      </w:r>
      <w:r>
        <w:rPr>
          <w:color w:val="231F20"/>
          <w:sz w:val="23"/>
        </w:rPr>
        <w:t>A</w:t>
      </w:r>
      <w:r>
        <w:rPr>
          <w:color w:val="231F20"/>
          <w:spacing w:val="-8"/>
          <w:sz w:val="23"/>
        </w:rPr>
        <w:t xml:space="preserve"> </w:t>
      </w:r>
      <w:r>
        <w:rPr>
          <w:color w:val="231F20"/>
          <w:sz w:val="23"/>
        </w:rPr>
        <w:t>batterer</w:t>
      </w:r>
      <w:r>
        <w:rPr>
          <w:color w:val="231F20"/>
          <w:spacing w:val="-8"/>
          <w:sz w:val="23"/>
        </w:rPr>
        <w:t xml:space="preserve"> </w:t>
      </w:r>
      <w:r>
        <w:rPr>
          <w:color w:val="231F20"/>
          <w:sz w:val="23"/>
        </w:rPr>
        <w:t>who</w:t>
      </w:r>
      <w:r>
        <w:rPr>
          <w:color w:val="231F20"/>
          <w:spacing w:val="-8"/>
          <w:sz w:val="23"/>
        </w:rPr>
        <w:t xml:space="preserve"> </w:t>
      </w:r>
      <w:r>
        <w:rPr>
          <w:color w:val="231F20"/>
          <w:sz w:val="23"/>
        </w:rPr>
        <w:t>believes</w:t>
      </w:r>
      <w:r>
        <w:rPr>
          <w:color w:val="231F20"/>
          <w:spacing w:val="-8"/>
          <w:sz w:val="23"/>
        </w:rPr>
        <w:t xml:space="preserve"> </w:t>
      </w:r>
      <w:r>
        <w:rPr>
          <w:color w:val="231F20"/>
          <w:sz w:val="23"/>
        </w:rPr>
        <w:t>he</w:t>
      </w:r>
      <w:r>
        <w:rPr>
          <w:color w:val="231F20"/>
          <w:spacing w:val="-8"/>
          <w:sz w:val="23"/>
        </w:rPr>
        <w:t xml:space="preserve"> </w:t>
      </w:r>
      <w:r>
        <w:rPr>
          <w:color w:val="231F20"/>
          <w:sz w:val="23"/>
        </w:rPr>
        <w:t>is</w:t>
      </w:r>
      <w:r>
        <w:rPr>
          <w:color w:val="231F20"/>
          <w:spacing w:val="-9"/>
          <w:sz w:val="23"/>
        </w:rPr>
        <w:t xml:space="preserve"> </w:t>
      </w:r>
      <w:r>
        <w:rPr>
          <w:color w:val="231F20"/>
          <w:sz w:val="23"/>
        </w:rPr>
        <w:t xml:space="preserve">absolutely entitled to his female partner, her services, her obedience and her </w:t>
      </w:r>
      <w:r>
        <w:rPr>
          <w:color w:val="231F20"/>
          <w:spacing w:val="-3"/>
          <w:sz w:val="23"/>
        </w:rPr>
        <w:t xml:space="preserve">loyalty, </w:t>
      </w:r>
      <w:r>
        <w:rPr>
          <w:color w:val="231F20"/>
          <w:sz w:val="23"/>
        </w:rPr>
        <w:t>no matter what, is likely to be</w:t>
      </w:r>
      <w:r>
        <w:rPr>
          <w:color w:val="231F20"/>
          <w:spacing w:val="15"/>
          <w:sz w:val="23"/>
        </w:rPr>
        <w:t xml:space="preserve"> </w:t>
      </w:r>
      <w:r>
        <w:rPr>
          <w:color w:val="231F20"/>
          <w:sz w:val="23"/>
        </w:rPr>
        <w:t>life-endangering.</w:t>
      </w:r>
    </w:p>
    <w:p w14:paraId="5EBC431F" w14:textId="65CCB245" w:rsidR="00165A80" w:rsidRDefault="00165A80" w:rsidP="00165A80">
      <w:pPr>
        <w:pStyle w:val="BodyText"/>
        <w:numPr>
          <w:ilvl w:val="0"/>
          <w:numId w:val="1"/>
        </w:numPr>
        <w:spacing w:before="293" w:line="249" w:lineRule="auto"/>
        <w:ind w:right="1747"/>
      </w:pPr>
      <w:r>
        <w:rPr>
          <w:b/>
          <w:color w:val="231F20"/>
        </w:rPr>
        <w:t xml:space="preserve">Centrality of the </w:t>
      </w:r>
      <w:r>
        <w:rPr>
          <w:b/>
          <w:color w:val="231F20"/>
          <w:spacing w:val="-4"/>
        </w:rPr>
        <w:t>partner.</w:t>
      </w:r>
      <w:r>
        <w:rPr>
          <w:b/>
          <w:color w:val="231F20"/>
          <w:spacing w:val="49"/>
        </w:rPr>
        <w:t xml:space="preserve"> </w:t>
      </w:r>
      <w:r>
        <w:rPr>
          <w:color w:val="231F20"/>
        </w:rPr>
        <w:t>A man who idolizes his female partner, or who depends heavily on her to organize and sustain his life, or who has isolated himself from all other</w:t>
      </w:r>
      <w:r>
        <w:rPr>
          <w:color w:val="231F20"/>
          <w:spacing w:val="19"/>
        </w:rPr>
        <w:t xml:space="preserve"> </w:t>
      </w:r>
      <w:r>
        <w:rPr>
          <w:color w:val="231F20"/>
        </w:rPr>
        <w:t>community</w:t>
      </w:r>
      <w:r>
        <w:rPr>
          <w:color w:val="231F20"/>
        </w:rPr>
        <w:t>,</w:t>
      </w:r>
      <w:r w:rsidRPr="00165A80">
        <w:rPr>
          <w:color w:val="231F20"/>
        </w:rPr>
        <w:t xml:space="preserve"> </w:t>
      </w:r>
      <w:r>
        <w:rPr>
          <w:color w:val="231F20"/>
        </w:rPr>
        <w:t>and retaliate against a partner who decides to end the relationship. He rationalizes that her "betrayal" justifies his lethal retaliation.</w:t>
      </w:r>
    </w:p>
    <w:p w14:paraId="2E2595F6" w14:textId="7767D7BF" w:rsidR="00165A80" w:rsidRPr="00165A80" w:rsidRDefault="00165A80" w:rsidP="00165A80">
      <w:pPr>
        <w:pStyle w:val="ListParagraph"/>
        <w:numPr>
          <w:ilvl w:val="0"/>
          <w:numId w:val="1"/>
        </w:numPr>
        <w:tabs>
          <w:tab w:val="left" w:pos="979"/>
        </w:tabs>
        <w:spacing w:before="281" w:line="249" w:lineRule="auto"/>
        <w:ind w:left="978" w:right="1819"/>
        <w:jc w:val="both"/>
        <w:rPr>
          <w:sz w:val="23"/>
        </w:rPr>
        <w:sectPr w:rsidR="00165A80" w:rsidRPr="00165A80" w:rsidSect="00165A80">
          <w:pgSz w:w="12960" w:h="16560"/>
          <w:pgMar w:top="720" w:right="533" w:bottom="907" w:left="720" w:header="0" w:footer="0" w:gutter="0"/>
          <w:cols w:space="720"/>
        </w:sectPr>
      </w:pPr>
    </w:p>
    <w:p w14:paraId="7A93BA17" w14:textId="77777777" w:rsidR="00165A80" w:rsidRPr="00165A80" w:rsidRDefault="00165A80" w:rsidP="00165A80">
      <w:pPr>
        <w:pStyle w:val="ListParagraph"/>
        <w:numPr>
          <w:ilvl w:val="0"/>
          <w:numId w:val="1"/>
        </w:numPr>
        <w:tabs>
          <w:tab w:val="left" w:pos="980"/>
        </w:tabs>
        <w:spacing w:line="249" w:lineRule="auto"/>
        <w:ind w:right="1818"/>
        <w:jc w:val="both"/>
        <w:rPr>
          <w:sz w:val="23"/>
        </w:rPr>
      </w:pPr>
      <w:r w:rsidRPr="00165A80">
        <w:rPr>
          <w:b/>
          <w:color w:val="231F20"/>
          <w:sz w:val="23"/>
        </w:rPr>
        <w:lastRenderedPageBreak/>
        <w:t xml:space="preserve">Separation violence. </w:t>
      </w:r>
      <w:r w:rsidRPr="00165A80">
        <w:rPr>
          <w:color w:val="231F20"/>
          <w:sz w:val="23"/>
        </w:rPr>
        <w:t>When a batterer believes that he is about to lose his partner, if he can't envision life without her or if the separation causes him great despair or rage, he may choose to</w:t>
      </w:r>
      <w:r w:rsidRPr="00165A80">
        <w:rPr>
          <w:color w:val="231F20"/>
          <w:spacing w:val="5"/>
          <w:sz w:val="23"/>
        </w:rPr>
        <w:t xml:space="preserve"> </w:t>
      </w:r>
      <w:r w:rsidRPr="00165A80">
        <w:rPr>
          <w:color w:val="231F20"/>
          <w:sz w:val="23"/>
        </w:rPr>
        <w:t>kill.</w:t>
      </w:r>
    </w:p>
    <w:p w14:paraId="1056EC95" w14:textId="77777777" w:rsidR="00165A80" w:rsidRDefault="00165A80" w:rsidP="00165A80">
      <w:pPr>
        <w:pStyle w:val="ListParagraph"/>
        <w:numPr>
          <w:ilvl w:val="0"/>
          <w:numId w:val="1"/>
        </w:numPr>
        <w:tabs>
          <w:tab w:val="left" w:pos="980"/>
        </w:tabs>
        <w:spacing w:before="279" w:line="249" w:lineRule="auto"/>
        <w:ind w:right="1818"/>
        <w:jc w:val="both"/>
        <w:rPr>
          <w:sz w:val="23"/>
        </w:rPr>
      </w:pPr>
      <w:r>
        <w:rPr>
          <w:b/>
          <w:color w:val="231F20"/>
          <w:sz w:val="23"/>
        </w:rPr>
        <w:t xml:space="preserve">Depression. </w:t>
      </w:r>
      <w:r>
        <w:rPr>
          <w:color w:val="231F20"/>
          <w:sz w:val="23"/>
        </w:rPr>
        <w:t xml:space="preserve">Where a batterer has been acutely depressed and sees little hope for </w:t>
      </w:r>
      <w:r>
        <w:rPr>
          <w:color w:val="231F20"/>
          <w:spacing w:val="-3"/>
          <w:sz w:val="23"/>
        </w:rPr>
        <w:t xml:space="preserve">moving </w:t>
      </w:r>
      <w:r>
        <w:rPr>
          <w:color w:val="231F20"/>
          <w:sz w:val="23"/>
        </w:rPr>
        <w:t xml:space="preserve">beyond the depression, he may be a candidate for homicide and suicide. Research shows </w:t>
      </w:r>
      <w:r>
        <w:rPr>
          <w:color w:val="231F20"/>
          <w:spacing w:val="-3"/>
          <w:sz w:val="23"/>
        </w:rPr>
        <w:t xml:space="preserve">that </w:t>
      </w:r>
      <w:r>
        <w:rPr>
          <w:color w:val="231F20"/>
          <w:sz w:val="23"/>
        </w:rPr>
        <w:t xml:space="preserve">many men who are hospitalized for depression </w:t>
      </w:r>
      <w:r>
        <w:rPr>
          <w:color w:val="231F20"/>
          <w:spacing w:val="-3"/>
          <w:sz w:val="23"/>
        </w:rPr>
        <w:t xml:space="preserve">have </w:t>
      </w:r>
      <w:r>
        <w:rPr>
          <w:color w:val="231F20"/>
          <w:sz w:val="23"/>
        </w:rPr>
        <w:t xml:space="preserve">homicidal fantasies directed at </w:t>
      </w:r>
      <w:r>
        <w:rPr>
          <w:color w:val="231F20"/>
          <w:spacing w:val="-4"/>
          <w:sz w:val="23"/>
        </w:rPr>
        <w:t xml:space="preserve">family </w:t>
      </w:r>
      <w:r>
        <w:rPr>
          <w:color w:val="231F20"/>
          <w:sz w:val="23"/>
        </w:rPr>
        <w:t>members.</w:t>
      </w:r>
    </w:p>
    <w:p w14:paraId="71BEDD14" w14:textId="77777777" w:rsidR="00165A80" w:rsidRDefault="00165A80" w:rsidP="00165A80">
      <w:pPr>
        <w:pStyle w:val="ListParagraph"/>
        <w:numPr>
          <w:ilvl w:val="0"/>
          <w:numId w:val="1"/>
        </w:numPr>
        <w:tabs>
          <w:tab w:val="left" w:pos="980"/>
        </w:tabs>
        <w:spacing w:before="279" w:line="249" w:lineRule="auto"/>
        <w:ind w:right="1818"/>
        <w:jc w:val="both"/>
        <w:rPr>
          <w:sz w:val="23"/>
        </w:rPr>
      </w:pPr>
      <w:r>
        <w:rPr>
          <w:b/>
          <w:color w:val="231F20"/>
          <w:sz w:val="23"/>
        </w:rPr>
        <w:t xml:space="preserve">Access to the battered woman and/or to family members. </w:t>
      </w:r>
      <w:r>
        <w:rPr>
          <w:color w:val="231F20"/>
          <w:sz w:val="23"/>
        </w:rPr>
        <w:t xml:space="preserve">If the batterer cannot find </w:t>
      </w:r>
      <w:r>
        <w:rPr>
          <w:color w:val="231F20"/>
          <w:spacing w:val="-3"/>
          <w:sz w:val="23"/>
        </w:rPr>
        <w:t xml:space="preserve">her, </w:t>
      </w:r>
      <w:r>
        <w:rPr>
          <w:color w:val="231F20"/>
          <w:sz w:val="23"/>
        </w:rPr>
        <w:t xml:space="preserve">he cannot kill </w:t>
      </w:r>
      <w:r>
        <w:rPr>
          <w:color w:val="231F20"/>
          <w:spacing w:val="-4"/>
          <w:sz w:val="23"/>
        </w:rPr>
        <w:t>her.</w:t>
      </w:r>
      <w:r>
        <w:rPr>
          <w:color w:val="231F20"/>
          <w:spacing w:val="49"/>
          <w:sz w:val="23"/>
        </w:rPr>
        <w:t xml:space="preserve"> </w:t>
      </w:r>
      <w:r>
        <w:rPr>
          <w:color w:val="231F20"/>
          <w:sz w:val="23"/>
        </w:rPr>
        <w:t xml:space="preserve">If he does not </w:t>
      </w:r>
      <w:r>
        <w:rPr>
          <w:color w:val="231F20"/>
          <w:spacing w:val="-3"/>
          <w:sz w:val="23"/>
        </w:rPr>
        <w:t xml:space="preserve">have </w:t>
      </w:r>
      <w:r>
        <w:rPr>
          <w:color w:val="231F20"/>
          <w:sz w:val="23"/>
        </w:rPr>
        <w:t>access to the children, he cannot use them as a means of access to the battered woman. Careful safety planning and police assistance are required for those times when contact is required, e.g. court appearances and custody exchanges.</w:t>
      </w:r>
    </w:p>
    <w:p w14:paraId="42343703" w14:textId="77777777" w:rsidR="00165A80" w:rsidRDefault="00165A80" w:rsidP="00165A80">
      <w:pPr>
        <w:pStyle w:val="ListParagraph"/>
        <w:numPr>
          <w:ilvl w:val="0"/>
          <w:numId w:val="1"/>
        </w:numPr>
        <w:tabs>
          <w:tab w:val="left" w:pos="980"/>
        </w:tabs>
        <w:spacing w:before="280" w:line="249" w:lineRule="auto"/>
        <w:ind w:right="1818"/>
        <w:jc w:val="both"/>
        <w:rPr>
          <w:sz w:val="23"/>
        </w:rPr>
      </w:pPr>
      <w:r>
        <w:rPr>
          <w:b/>
          <w:color w:val="231F20"/>
          <w:sz w:val="23"/>
        </w:rPr>
        <w:t xml:space="preserve">Repeated outreach to law enforcement. </w:t>
      </w:r>
      <w:r>
        <w:rPr>
          <w:color w:val="231F20"/>
          <w:sz w:val="23"/>
        </w:rPr>
        <w:t>Partner or spousal homicide almost always occurs in a context of historical violence. Prior calls to the police indicate elevated risk of life- threatening conduct. The more calls, the greater the potential</w:t>
      </w:r>
      <w:r>
        <w:rPr>
          <w:color w:val="231F20"/>
          <w:spacing w:val="44"/>
          <w:sz w:val="23"/>
        </w:rPr>
        <w:t xml:space="preserve"> </w:t>
      </w:r>
      <w:r>
        <w:rPr>
          <w:color w:val="231F20"/>
          <w:sz w:val="23"/>
        </w:rPr>
        <w:t>danger.</w:t>
      </w:r>
    </w:p>
    <w:p w14:paraId="682F338C" w14:textId="77777777" w:rsidR="00165A80" w:rsidRDefault="00165A80" w:rsidP="00165A80">
      <w:pPr>
        <w:pStyle w:val="ListParagraph"/>
        <w:numPr>
          <w:ilvl w:val="0"/>
          <w:numId w:val="1"/>
        </w:numPr>
        <w:tabs>
          <w:tab w:val="left" w:pos="980"/>
        </w:tabs>
        <w:spacing w:before="279" w:line="249" w:lineRule="auto"/>
        <w:ind w:right="1818"/>
        <w:jc w:val="both"/>
        <w:rPr>
          <w:sz w:val="23"/>
        </w:rPr>
      </w:pPr>
      <w:r>
        <w:rPr>
          <w:b/>
          <w:color w:val="231F20"/>
          <w:sz w:val="23"/>
        </w:rPr>
        <w:t xml:space="preserve">Escalation of batterer risk. </w:t>
      </w:r>
      <w:r>
        <w:rPr>
          <w:color w:val="231F20"/>
          <w:sz w:val="23"/>
        </w:rPr>
        <w:t xml:space="preserve">A less obvious indicator of increasing danger may be the </w:t>
      </w:r>
      <w:r>
        <w:rPr>
          <w:color w:val="231F20"/>
          <w:spacing w:val="-3"/>
          <w:sz w:val="23"/>
        </w:rPr>
        <w:t xml:space="preserve">sharp </w:t>
      </w:r>
      <w:r>
        <w:rPr>
          <w:color w:val="231F20"/>
          <w:sz w:val="23"/>
        </w:rPr>
        <w:t>escalation of personal risk undertaken by a batterer; when a batterer begins to act without regard</w:t>
      </w:r>
      <w:r>
        <w:rPr>
          <w:color w:val="231F20"/>
          <w:spacing w:val="-4"/>
          <w:sz w:val="23"/>
        </w:rPr>
        <w:t xml:space="preserve"> </w:t>
      </w:r>
      <w:r>
        <w:rPr>
          <w:color w:val="231F20"/>
          <w:sz w:val="23"/>
        </w:rPr>
        <w:t>to</w:t>
      </w:r>
      <w:r>
        <w:rPr>
          <w:color w:val="231F20"/>
          <w:spacing w:val="-3"/>
          <w:sz w:val="23"/>
        </w:rPr>
        <w:t xml:space="preserve"> </w:t>
      </w:r>
      <w:r>
        <w:rPr>
          <w:color w:val="231F20"/>
          <w:sz w:val="23"/>
        </w:rPr>
        <w:t>the</w:t>
      </w:r>
      <w:r>
        <w:rPr>
          <w:color w:val="231F20"/>
          <w:spacing w:val="-4"/>
          <w:sz w:val="23"/>
        </w:rPr>
        <w:t xml:space="preserve"> </w:t>
      </w:r>
      <w:r>
        <w:rPr>
          <w:color w:val="231F20"/>
          <w:sz w:val="23"/>
        </w:rPr>
        <w:t>legal</w:t>
      </w:r>
      <w:r>
        <w:rPr>
          <w:color w:val="231F20"/>
          <w:spacing w:val="-3"/>
          <w:sz w:val="23"/>
        </w:rPr>
        <w:t xml:space="preserve"> </w:t>
      </w:r>
      <w:r>
        <w:rPr>
          <w:color w:val="231F20"/>
          <w:sz w:val="23"/>
        </w:rPr>
        <w:t>or</w:t>
      </w:r>
      <w:r>
        <w:rPr>
          <w:color w:val="231F20"/>
          <w:spacing w:val="-3"/>
          <w:sz w:val="23"/>
        </w:rPr>
        <w:t xml:space="preserve"> </w:t>
      </w:r>
      <w:r>
        <w:rPr>
          <w:color w:val="231F20"/>
          <w:sz w:val="23"/>
        </w:rPr>
        <w:t>social</w:t>
      </w:r>
      <w:r>
        <w:rPr>
          <w:color w:val="231F20"/>
          <w:spacing w:val="-4"/>
          <w:sz w:val="23"/>
        </w:rPr>
        <w:t xml:space="preserve"> </w:t>
      </w:r>
      <w:r>
        <w:rPr>
          <w:color w:val="231F20"/>
          <w:sz w:val="23"/>
        </w:rPr>
        <w:t>consequences</w:t>
      </w:r>
      <w:r>
        <w:rPr>
          <w:color w:val="231F20"/>
          <w:spacing w:val="-3"/>
          <w:sz w:val="23"/>
        </w:rPr>
        <w:t xml:space="preserve"> </w:t>
      </w:r>
      <w:r>
        <w:rPr>
          <w:color w:val="231F20"/>
          <w:sz w:val="23"/>
        </w:rPr>
        <w:t>that</w:t>
      </w:r>
      <w:r>
        <w:rPr>
          <w:color w:val="231F20"/>
          <w:spacing w:val="-3"/>
          <w:sz w:val="23"/>
        </w:rPr>
        <w:t xml:space="preserve"> </w:t>
      </w:r>
      <w:r>
        <w:rPr>
          <w:color w:val="231F20"/>
          <w:sz w:val="23"/>
        </w:rPr>
        <w:t>previously</w:t>
      </w:r>
      <w:r>
        <w:rPr>
          <w:color w:val="231F20"/>
          <w:spacing w:val="-4"/>
          <w:sz w:val="23"/>
        </w:rPr>
        <w:t xml:space="preserve"> </w:t>
      </w:r>
      <w:r>
        <w:rPr>
          <w:color w:val="231F20"/>
          <w:sz w:val="23"/>
        </w:rPr>
        <w:t>constrained</w:t>
      </w:r>
      <w:r>
        <w:rPr>
          <w:color w:val="231F20"/>
          <w:spacing w:val="-3"/>
          <w:sz w:val="23"/>
        </w:rPr>
        <w:t xml:space="preserve"> </w:t>
      </w:r>
      <w:r>
        <w:rPr>
          <w:color w:val="231F20"/>
          <w:sz w:val="23"/>
        </w:rPr>
        <w:t>his</w:t>
      </w:r>
      <w:r>
        <w:rPr>
          <w:color w:val="231F20"/>
          <w:spacing w:val="-3"/>
          <w:sz w:val="23"/>
        </w:rPr>
        <w:t xml:space="preserve"> </w:t>
      </w:r>
      <w:r>
        <w:rPr>
          <w:color w:val="231F20"/>
          <w:sz w:val="23"/>
        </w:rPr>
        <w:t>violence,</w:t>
      </w:r>
      <w:r>
        <w:rPr>
          <w:color w:val="231F20"/>
          <w:spacing w:val="-4"/>
          <w:sz w:val="23"/>
        </w:rPr>
        <w:t xml:space="preserve"> </w:t>
      </w:r>
      <w:r>
        <w:rPr>
          <w:color w:val="231F20"/>
          <w:sz w:val="23"/>
        </w:rPr>
        <w:t>chances</w:t>
      </w:r>
      <w:r>
        <w:rPr>
          <w:color w:val="231F20"/>
          <w:spacing w:val="-3"/>
          <w:sz w:val="23"/>
        </w:rPr>
        <w:t xml:space="preserve"> </w:t>
      </w:r>
      <w:r>
        <w:rPr>
          <w:color w:val="231F20"/>
          <w:sz w:val="23"/>
        </w:rPr>
        <w:t>of lethal assault increase</w:t>
      </w:r>
      <w:r>
        <w:rPr>
          <w:color w:val="231F20"/>
          <w:spacing w:val="14"/>
          <w:sz w:val="23"/>
        </w:rPr>
        <w:t xml:space="preserve"> </w:t>
      </w:r>
      <w:r>
        <w:rPr>
          <w:color w:val="231F20"/>
          <w:sz w:val="23"/>
        </w:rPr>
        <w:t>significantly.</w:t>
      </w:r>
    </w:p>
    <w:p w14:paraId="75D96A4E" w14:textId="77777777" w:rsidR="00165A80" w:rsidRDefault="00165A80" w:rsidP="00165A80">
      <w:pPr>
        <w:pStyle w:val="ListParagraph"/>
        <w:numPr>
          <w:ilvl w:val="0"/>
          <w:numId w:val="1"/>
        </w:numPr>
        <w:tabs>
          <w:tab w:val="left" w:pos="980"/>
        </w:tabs>
        <w:spacing w:before="280" w:line="249" w:lineRule="auto"/>
        <w:ind w:right="1818"/>
        <w:jc w:val="both"/>
        <w:rPr>
          <w:sz w:val="23"/>
        </w:rPr>
      </w:pPr>
      <w:r>
        <w:rPr>
          <w:b/>
          <w:color w:val="231F20"/>
          <w:sz w:val="23"/>
        </w:rPr>
        <w:t xml:space="preserve">Hostage-taking. </w:t>
      </w:r>
      <w:r>
        <w:rPr>
          <w:color w:val="231F20"/>
          <w:sz w:val="23"/>
        </w:rPr>
        <w:t xml:space="preserve">A hostage-taker is at high risk of inflicting homicide. Between 75% </w:t>
      </w:r>
      <w:r>
        <w:rPr>
          <w:color w:val="231F20"/>
          <w:spacing w:val="-5"/>
          <w:sz w:val="23"/>
        </w:rPr>
        <w:t xml:space="preserve">and </w:t>
      </w:r>
      <w:r>
        <w:rPr>
          <w:color w:val="231F20"/>
          <w:sz w:val="23"/>
        </w:rPr>
        <w:t>90% of all hostage takings in the US are related to domestic violence</w:t>
      </w:r>
      <w:r>
        <w:rPr>
          <w:color w:val="231F20"/>
          <w:spacing w:val="46"/>
          <w:sz w:val="23"/>
        </w:rPr>
        <w:t xml:space="preserve"> </w:t>
      </w:r>
      <w:r>
        <w:rPr>
          <w:color w:val="231F20"/>
          <w:sz w:val="23"/>
        </w:rPr>
        <w:t>situations.</w:t>
      </w:r>
    </w:p>
    <w:p w14:paraId="30D03A7B" w14:textId="77777777" w:rsidR="00165A80" w:rsidRDefault="00165A80" w:rsidP="00165A80">
      <w:pPr>
        <w:pStyle w:val="BodyText"/>
        <w:spacing w:before="1"/>
        <w:rPr>
          <w:sz w:val="48"/>
        </w:rPr>
      </w:pPr>
    </w:p>
    <w:p w14:paraId="3F605C2C" w14:textId="77777777" w:rsidR="00165A80" w:rsidRDefault="00165A80" w:rsidP="00165A80">
      <w:pPr>
        <w:pStyle w:val="BodyText"/>
        <w:spacing w:before="1" w:line="249" w:lineRule="auto"/>
        <w:ind w:left="258" w:right="1818" w:firstLine="1"/>
        <w:jc w:val="both"/>
      </w:pPr>
      <w:r>
        <w:rPr>
          <w:color w:val="231F20"/>
        </w:rPr>
        <w:t>If an intervention worker concludes that a batterer is likely to kill or commit life-endangering violence, extraordinary measures should be taken to protect the victim and her children. This may include notifying the victim and law enforcement of risk, as well as seeking a mental health commitment, where appropriate. The victim should be advised that the presence of these indicators may mean that the batterer is contemplating homicide and that she should immediately take action to protect herself and should contact the local battered woman's program to further assess lethality and develop safety plans.</w:t>
      </w:r>
    </w:p>
    <w:p w14:paraId="6EBCD581" w14:textId="77777777" w:rsidR="00165A80" w:rsidRDefault="00165A80" w:rsidP="00165A80">
      <w:pPr>
        <w:pStyle w:val="BodyText"/>
        <w:rPr>
          <w:sz w:val="38"/>
        </w:rPr>
      </w:pPr>
    </w:p>
    <w:p w14:paraId="5D57A7AE" w14:textId="77777777" w:rsidR="00165A80" w:rsidRDefault="00165A80" w:rsidP="00165A80">
      <w:pPr>
        <w:pStyle w:val="BodyText"/>
        <w:rPr>
          <w:sz w:val="38"/>
        </w:rPr>
      </w:pPr>
    </w:p>
    <w:p w14:paraId="06C894C2" w14:textId="77777777" w:rsidR="00165A80" w:rsidRDefault="00165A80" w:rsidP="00165A80">
      <w:pPr>
        <w:pStyle w:val="BodyText"/>
        <w:spacing w:before="7"/>
        <w:rPr>
          <w:sz w:val="45"/>
        </w:rPr>
      </w:pPr>
    </w:p>
    <w:p w14:paraId="57FF8215" w14:textId="77777777" w:rsidR="00165A80" w:rsidRDefault="00165A80" w:rsidP="00165A80">
      <w:pPr>
        <w:ind w:left="260"/>
        <w:jc w:val="both"/>
        <w:rPr>
          <w:i/>
          <w:sz w:val="18"/>
        </w:rPr>
      </w:pPr>
      <w:r>
        <w:rPr>
          <w:i/>
          <w:color w:val="231F20"/>
          <w:sz w:val="18"/>
        </w:rPr>
        <w:t>Hart, B., "Assessing Whether Batterers Will Kill," © PCADV, 1990</w:t>
      </w:r>
    </w:p>
    <w:p w14:paraId="002E54E5" w14:textId="77777777" w:rsidR="00165A80" w:rsidRDefault="00165A80" w:rsidP="00165A80">
      <w:pPr>
        <w:spacing w:before="9"/>
        <w:ind w:left="259"/>
        <w:jc w:val="both"/>
        <w:rPr>
          <w:i/>
          <w:sz w:val="18"/>
        </w:rPr>
      </w:pPr>
      <w:r>
        <w:rPr>
          <w:i/>
          <w:color w:val="231F20"/>
          <w:sz w:val="18"/>
        </w:rPr>
        <w:t>SEEKING JUSTICE: Legal Advocacy Principles and Practice – WV, Section IV – Page 1 &amp; 2</w:t>
      </w:r>
    </w:p>
    <w:p w14:paraId="1C2332A0" w14:textId="77777777" w:rsidR="00976E50" w:rsidRDefault="00165A80"/>
    <w:sectPr w:rsidR="00976E50" w:rsidSect="00165A80">
      <w:pgSz w:w="12960" w:h="16560"/>
      <w:pgMar w:top="720" w:right="533" w:bottom="907"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64497"/>
    <w:multiLevelType w:val="hybridMultilevel"/>
    <w:tmpl w:val="B9625DD0"/>
    <w:lvl w:ilvl="0" w:tplc="33A6EF84">
      <w:start w:val="1"/>
      <w:numFmt w:val="decimal"/>
      <w:lvlText w:val="%1."/>
      <w:lvlJc w:val="left"/>
      <w:pPr>
        <w:ind w:left="979" w:hanging="720"/>
        <w:jc w:val="left"/>
      </w:pPr>
      <w:rPr>
        <w:rFonts w:ascii="Times New Roman" w:eastAsia="Times New Roman" w:hAnsi="Times New Roman" w:cs="Times New Roman" w:hint="default"/>
        <w:b/>
        <w:bCs/>
        <w:color w:val="231F20"/>
        <w:spacing w:val="-28"/>
        <w:w w:val="100"/>
        <w:sz w:val="23"/>
        <w:szCs w:val="23"/>
      </w:rPr>
    </w:lvl>
    <w:lvl w:ilvl="1" w:tplc="5284ED9E">
      <w:numFmt w:val="bullet"/>
      <w:lvlText w:val="•"/>
      <w:lvlJc w:val="left"/>
      <w:pPr>
        <w:ind w:left="2022" w:hanging="720"/>
      </w:pPr>
      <w:rPr>
        <w:rFonts w:hint="default"/>
      </w:rPr>
    </w:lvl>
    <w:lvl w:ilvl="2" w:tplc="902C7A8E">
      <w:numFmt w:val="bullet"/>
      <w:lvlText w:val="•"/>
      <w:lvlJc w:val="left"/>
      <w:pPr>
        <w:ind w:left="3064" w:hanging="720"/>
      </w:pPr>
      <w:rPr>
        <w:rFonts w:hint="default"/>
      </w:rPr>
    </w:lvl>
    <w:lvl w:ilvl="3" w:tplc="14566BC4">
      <w:numFmt w:val="bullet"/>
      <w:lvlText w:val="•"/>
      <w:lvlJc w:val="left"/>
      <w:pPr>
        <w:ind w:left="4106" w:hanging="720"/>
      </w:pPr>
      <w:rPr>
        <w:rFonts w:hint="default"/>
      </w:rPr>
    </w:lvl>
    <w:lvl w:ilvl="4" w:tplc="A1C21E08">
      <w:numFmt w:val="bullet"/>
      <w:lvlText w:val="•"/>
      <w:lvlJc w:val="left"/>
      <w:pPr>
        <w:ind w:left="5148" w:hanging="720"/>
      </w:pPr>
      <w:rPr>
        <w:rFonts w:hint="default"/>
      </w:rPr>
    </w:lvl>
    <w:lvl w:ilvl="5" w:tplc="5B124DC0">
      <w:numFmt w:val="bullet"/>
      <w:lvlText w:val="•"/>
      <w:lvlJc w:val="left"/>
      <w:pPr>
        <w:ind w:left="6190" w:hanging="720"/>
      </w:pPr>
      <w:rPr>
        <w:rFonts w:hint="default"/>
      </w:rPr>
    </w:lvl>
    <w:lvl w:ilvl="6" w:tplc="37226C14">
      <w:numFmt w:val="bullet"/>
      <w:lvlText w:val="•"/>
      <w:lvlJc w:val="left"/>
      <w:pPr>
        <w:ind w:left="7232" w:hanging="720"/>
      </w:pPr>
      <w:rPr>
        <w:rFonts w:hint="default"/>
      </w:rPr>
    </w:lvl>
    <w:lvl w:ilvl="7" w:tplc="DA0CB2CA">
      <w:numFmt w:val="bullet"/>
      <w:lvlText w:val="•"/>
      <w:lvlJc w:val="left"/>
      <w:pPr>
        <w:ind w:left="8274" w:hanging="720"/>
      </w:pPr>
      <w:rPr>
        <w:rFonts w:hint="default"/>
      </w:rPr>
    </w:lvl>
    <w:lvl w:ilvl="8" w:tplc="61B00606">
      <w:numFmt w:val="bullet"/>
      <w:lvlText w:val="•"/>
      <w:lvlJc w:val="left"/>
      <w:pPr>
        <w:ind w:left="931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80"/>
    <w:rsid w:val="00165A80"/>
    <w:rsid w:val="00426A3C"/>
    <w:rsid w:val="004A3F73"/>
    <w:rsid w:val="008C0AAF"/>
    <w:rsid w:val="00C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AE9DB"/>
  <w15:chartTrackingRefBased/>
  <w15:docId w15:val="{66C4ED44-E07F-9B4F-B80F-63DCB69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80"/>
    <w:pPr>
      <w:widowControl w:val="0"/>
      <w:autoSpaceDE w:val="0"/>
      <w:autoSpaceDN w:val="0"/>
    </w:pPr>
    <w:rPr>
      <w:rFonts w:ascii="Times New Roman" w:eastAsia="Times New Roman" w:hAnsi="Times New Roman" w:cs="Times New Roman"/>
      <w:sz w:val="22"/>
      <w:szCs w:val="22"/>
    </w:rPr>
  </w:style>
  <w:style w:type="paragraph" w:styleId="Heading3">
    <w:name w:val="heading 3"/>
    <w:basedOn w:val="Normal"/>
    <w:link w:val="Heading3Char"/>
    <w:uiPriority w:val="9"/>
    <w:unhideWhenUsed/>
    <w:qFormat/>
    <w:rsid w:val="00165A80"/>
    <w:pPr>
      <w:spacing w:before="230"/>
      <w:ind w:left="49"/>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5A80"/>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165A80"/>
    <w:rPr>
      <w:sz w:val="23"/>
      <w:szCs w:val="23"/>
    </w:rPr>
  </w:style>
  <w:style w:type="character" w:customStyle="1" w:styleId="BodyTextChar">
    <w:name w:val="Body Text Char"/>
    <w:basedOn w:val="DefaultParagraphFont"/>
    <w:link w:val="BodyText"/>
    <w:uiPriority w:val="1"/>
    <w:rsid w:val="00165A80"/>
    <w:rPr>
      <w:rFonts w:ascii="Times New Roman" w:eastAsia="Times New Roman" w:hAnsi="Times New Roman" w:cs="Times New Roman"/>
      <w:sz w:val="23"/>
      <w:szCs w:val="23"/>
    </w:rPr>
  </w:style>
  <w:style w:type="paragraph" w:styleId="ListParagraph">
    <w:name w:val="List Paragraph"/>
    <w:basedOn w:val="Normal"/>
    <w:uiPriority w:val="1"/>
    <w:qFormat/>
    <w:rsid w:val="00165A80"/>
    <w:pPr>
      <w:spacing w:before="278"/>
      <w:ind w:left="61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1</cp:revision>
  <dcterms:created xsi:type="dcterms:W3CDTF">2020-04-03T20:28:00Z</dcterms:created>
  <dcterms:modified xsi:type="dcterms:W3CDTF">2020-04-03T20:32:00Z</dcterms:modified>
</cp:coreProperties>
</file>